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Minimálne mechanizmy interoperability (MIMs)</w:t>
      </w:r>
    </w:p>
    <w:p>
      <w:pPr>
        <w:spacing w:before="40" w:after="320"/>
        <w:jc w:val="center"/>
      </w:pPr>
      <w:r>
        <w:rPr>
          <w:b/>
          <w:i w:val="0"/>
          <w:color w:val="0B7485"/>
          <w:sz w:val="30"/>
        </w:rPr>
        <w:t>Čo uviesť v súťažných podkladoch, aby údaje zostali pod kontrolou mesta</w:t>
      </w:r>
    </w:p>
    <w:p>
      <w:pPr>
        <w:spacing w:before="40" w:after="120"/>
        <w:jc w:val="center"/>
      </w:pPr>
      <w:r>
        <w:rPr>
          <w:b w:val="0"/>
          <w:i w:val="0"/>
          <w:color w:val="646B82"/>
          <w:sz w:val="22"/>
        </w:rPr>
        <w:t>Špecifikácia: MIMs Plus 9.0 siete OASC</w:t>
      </w:r>
    </w:p>
    <w:p>
      <w:pPr>
        <w:spacing w:before="40" w:after="80"/>
        <w:jc w:val="center"/>
      </w:pPr>
      <w:r>
        <w:rPr>
          <w:b w:val="0"/>
          <w:i w:val="0"/>
          <w:color w:val="646B82"/>
          <w:sz w:val="18"/>
        </w:rPr>
        <w:t>Pre referentov verejného obstarávania, projektových manažérov a vedúcich IT samospráv</w:t>
      </w:r>
    </w:p>
    <w:p>
      <w:pPr>
        <w:spacing w:before="40" w:after="80"/>
        <w:jc w:val="center"/>
      </w:pPr>
      <w:r>
        <w:rPr>
          <w:b w:val="0"/>
          <w:i w:val="0"/>
          <w:color w:val="646B82"/>
          <w:sz w:val="17"/>
        </w:rPr>
        <w:t>Autor brožúry: Marek Mráz</w:t>
      </w:r>
    </w:p>
    <w:p>
      <w:r>
        <w:br w:type="page"/>
      </w:r>
    </w:p>
    <w:p>
      <w:pPr>
        <w:spacing w:before="120" w:after="160"/>
      </w:pPr>
      <w:r>
        <w:rPr>
          <w:b/>
          <w:i w:val="0"/>
          <w:color w:val="2F3F9E"/>
          <w:sz w:val="36"/>
        </w:rPr>
        <w:t>Účel brožúry</w:t>
      </w:r>
    </w:p>
    <w:p>
      <w:pPr>
        <w:spacing w:before="40" w:after="160"/>
      </w:pPr>
      <w:r>
        <w:rPr>
          <w:b w:val="0"/>
          <w:i w:val="0"/>
          <w:sz w:val="21"/>
        </w:rPr>
        <w:t>Mestá každý rok nakupujú softvér: parkovacie systémy, senzorové platformy, mapové portály, digitálne dvojčatá. Údaje, ktoré tieto systémy zbierajú, v nich často zostanú uzamknuté. Zmluva sa skončí a údaje zaplatené z verejných peňazí odídu s dodávateľom alebo ostanú vo formáte, ktorý nikto iný neprečíta.</w:t>
      </w:r>
    </w:p>
    <w:p>
      <w:pPr>
        <w:spacing w:before="40" w:after="160"/>
      </w:pPr>
      <w:r>
        <w:rPr>
          <w:b w:val="0"/>
          <w:i w:val="0"/>
          <w:sz w:val="21"/>
        </w:rPr>
        <w:t>Nemusí to tak byť. Minimálne mechanizmy interoperability (MIMs) spravuje sieť Open &amp; Agile Smart Cities (OASC) a podporuje ich európska iniciatíva living-in.eu. Opisujú minimálne technické požiadavky, vďaka ktorým vaše údaje zostanú otvorené, opakovane použiteľné a nezávislé od dodávateľa. Sú zámerne malé: nejde o rozsiahlu architektúru, len o niekoľko podmienok, ktoré musia platiť, aby si systémy vymieňali údaje.</w:t>
      </w:r>
    </w:p>
    <w:p>
      <w:pPr>
        <w:spacing w:before="40" w:after="160"/>
      </w:pPr>
      <w:r>
        <w:rPr>
          <w:b w:val="0"/>
          <w:i w:val="0"/>
          <w:sz w:val="21"/>
        </w:rPr>
        <w:t>Na použitie brožúry nie sú potrebné technické znalosti. Každý kontrolný zoznam premieňa jeden MIM na zrozumiteľné požiadavky, ktoré skopírujete priamo do súťažných podkladov, aj s dôvodom, prečo vás chránia. Hneď za zoznamom nájdete presné znenie všetkých požiadaviek špecifikácie, aby si detaily overili vaši technici aj uchádzači.</w:t>
      </w:r>
    </w:p>
    <w:p>
      <w:pPr>
        <w:spacing w:before="40" w:after="160"/>
      </w:pPr>
      <w:r>
        <w:rPr>
          <w:b w:val="0"/>
          <w:i w:val="0"/>
          <w:sz w:val="21"/>
        </w:rPr>
        <w:t>Mestá, ktoré MIMs vyžadujú, obstarajú raz a používajú mnohokrát: údaje o kvalite ovzdušia napájajú školský prehľad, evidencia verejného osvetlenia slúži ako podklad pre energetický plán a ďalší dodávateľ nadviaže tam, kde predchádzajúci skončil. To je interoperabilita v praxi. Pri projektoch z fondov EÚ sa interoperabilita čoraz častejšie očakáva.</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“Minimálne mechanizmy interoperability (MIMs) umožňujú minimálnu, no dostatočnú úroveň interoperability údajov, systémov a služieb, osobitne v kontexte riešení pre inteligentné mestá.</w:t>
              <w:br/>
              <w:t>Tento dokument je určený pre:</w:t>
              <w:br/>
              <w:t>1. Dodávateľov riešení, ktorí chcú zabezpečiť, aby ich riešenia boli interoperabilné s inými a umožňovali plynulú výmenu údajov v kontexte inteligentných miest a komunít.</w:t>
              <w:br/>
              <w:t>2. Obstarávateľov, ktorí chcú obstarávať riešenia pripravené na budúcnosť a nákladovo efektívne integrovateľné do existujúcej architektúry informačných a komunikačných technológií (IKT) inteligentných miest a komunít.”</w:t>
            </w:r>
          </w:p>
        </w:tc>
      </w:tr>
    </w:tbl>
    <w:p>
      <w:pPr>
        <w:spacing w:before="240" w:after="60"/>
      </w:pPr>
      <w:r>
        <w:rPr>
          <w:b/>
          <w:i w:val="0"/>
          <w:color w:val="2F3F9E"/>
          <w:sz w:val="22"/>
        </w:rPr>
        <w:t>Ako MIMs zapadajú do práva EÚ</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sú technická špecifikácia, nie právny predpis. Smerujú však tam, kam pravidlá EÚ, ktoré už pre verejné údaje a digitálne služby platia:</w:t>
            </w:r>
          </w:p>
          <w:p>
            <w:pPr>
              <w:spacing w:before="20" w:after="60"/>
            </w:pPr>
            <w:r>
              <w:rPr>
                <w:b/>
                <w:i w:val="0"/>
                <w:color w:val="2F3F9E"/>
                <w:sz w:val="19"/>
              </w:rPr>
              <w:t>Smernica o verejnom obstarávaní</w:t>
            </w:r>
            <w:r>
              <w:rPr>
                <w:b w:val="0"/>
                <w:i w:val="0"/>
                <w:color w:val="646B82"/>
                <w:sz w:val="17"/>
              </w:rPr>
              <w:t xml:space="preserve"> (smernica 2014/24/EÚ, článok 42): </w:t>
            </w:r>
            <w:r>
              <w:rPr>
                <w:b w:val="0"/>
                <w:i w:val="0"/>
                <w:sz w:val="19"/>
              </w:rPr>
              <w:t>technické špecifikácie môžu odkazovať na normy, vždy s dodatkom „alebo ekvivalent“; konkrétnu značku ani výrobok spravidla menovať nesmú.</w:t>
            </w:r>
          </w:p>
          <w:p>
            <w:pPr>
              <w:spacing w:before="20" w:after="60"/>
            </w:pPr>
            <w:r>
              <w:rPr>
                <w:b/>
                <w:i w:val="0"/>
                <w:color w:val="2F3F9E"/>
                <w:sz w:val="19"/>
              </w:rPr>
              <w:t>Akt o údajoch</w:t>
            </w:r>
            <w:r>
              <w:rPr>
                <w:b w:val="0"/>
                <w:i w:val="0"/>
                <w:color w:val="646B82"/>
                <w:sz w:val="17"/>
              </w:rPr>
              <w:t xml:space="preserve"> (nariadenie (EÚ) 2023/2854): </w:t>
            </w:r>
            <w:r>
              <w:rPr>
                <w:b w:val="0"/>
                <w:i w:val="0"/>
                <w:sz w:val="19"/>
              </w:rPr>
              <w:t>prístup k údajom z pripojených produktov a zmena poskytovateľa cloudu bez závislosti od dodávateľa.</w:t>
            </w:r>
          </w:p>
          <w:p>
            <w:pPr>
              <w:spacing w:before="20" w:after="60"/>
            </w:pPr>
            <w:r>
              <w:rPr>
                <w:b/>
                <w:i w:val="0"/>
                <w:color w:val="2F3F9E"/>
                <w:sz w:val="19"/>
              </w:rPr>
              <w:t>Akt o interoperabilnej Európe</w:t>
            </w:r>
            <w:r>
              <w:rPr>
                <w:b w:val="0"/>
                <w:i w:val="0"/>
                <w:color w:val="646B82"/>
                <w:sz w:val="17"/>
              </w:rPr>
              <w:t xml:space="preserve"> (nariadenie (EÚ) 2024/903): </w:t>
            </w:r>
            <w:r>
              <w:rPr>
                <w:b w:val="0"/>
                <w:i w:val="0"/>
                <w:sz w:val="19"/>
              </w:rPr>
              <w:t>posudzovanie interoperability cezhraničných digitálnych verejných služieb a opätovné použitie otvorených riešení.</w:t>
            </w:r>
          </w:p>
          <w:p>
            <w:pPr>
              <w:spacing w:before="20" w:after="60"/>
            </w:pPr>
            <w:r>
              <w:rPr>
                <w:b/>
                <w:i w:val="0"/>
                <w:color w:val="2F3F9E"/>
                <w:sz w:val="19"/>
              </w:rPr>
              <w:t>Smernica o otvorených dátach</w:t>
            </w:r>
            <w:r>
              <w:rPr>
                <w:b w:val="0"/>
                <w:i w:val="0"/>
                <w:color w:val="646B82"/>
                <w:sz w:val="17"/>
              </w:rPr>
              <w:t xml:space="preserve"> (smernica (EÚ) 2019/1024): </w:t>
            </w:r>
            <w:r>
              <w:rPr>
                <w:b w:val="0"/>
                <w:i w:val="0"/>
                <w:sz w:val="19"/>
              </w:rPr>
              <w:t>súbory údajov s vysokou hodnotou zverejnené bezplatne, v strojovo čitateľnej podobe a cez API.</w:t>
            </w:r>
          </w:p>
          <w:p>
            <w:pPr>
              <w:spacing w:before="20" w:after="60"/>
            </w:pPr>
            <w:r>
              <w:rPr>
                <w:b/>
                <w:i w:val="0"/>
                <w:color w:val="2F3F9E"/>
                <w:sz w:val="19"/>
              </w:rPr>
              <w:t>Smernica NIS2</w:t>
            </w:r>
            <w:r>
              <w:rPr>
                <w:b w:val="0"/>
                <w:i w:val="0"/>
                <w:color w:val="646B82"/>
                <w:sz w:val="17"/>
              </w:rPr>
              <w:t xml:space="preserve"> (smernica (EÚ) 2022/2555): </w:t>
            </w:r>
            <w:r>
              <w:rPr>
                <w:b w:val="0"/>
                <w:i w:val="0"/>
                <w:sz w:val="19"/>
              </w:rPr>
              <w:t>základná úroveň kybernetickej bezpečnosti; rozsah pre miestnu samosprávu určuje vnútroštátne právo.</w:t>
            </w:r>
          </w:p>
          <w:p>
            <w:pPr>
              <w:spacing w:before="20" w:after="60"/>
            </w:pPr>
            <w:r>
              <w:rPr>
                <w:b/>
                <w:i w:val="0"/>
                <w:color w:val="2F3F9E"/>
                <w:sz w:val="19"/>
              </w:rPr>
              <w:t>GDPR</w:t>
            </w:r>
            <w:r>
              <w:rPr>
                <w:b w:val="0"/>
                <w:i w:val="0"/>
                <w:color w:val="646B82"/>
                <w:sz w:val="17"/>
              </w:rPr>
              <w:t xml:space="preserve"> (nariadenie (EÚ) 2016/679): </w:t>
            </w:r>
            <w:r>
              <w:rPr>
                <w:b w:val="0"/>
                <w:i w:val="0"/>
                <w:sz w:val="19"/>
              </w:rPr>
              <w:t>osobné údaje v mestských systémoch (parkovanie, kamery, mobilita).</w:t>
            </w:r>
          </w:p>
          <w:p>
            <w:pPr>
              <w:spacing w:before="20" w:after="60"/>
            </w:pPr>
            <w:r>
              <w:rPr>
                <w:b/>
                <w:i w:val="0"/>
                <w:color w:val="2F3F9E"/>
                <w:sz w:val="19"/>
              </w:rPr>
              <w:t>Akt o umelej inteligencii</w:t>
            </w:r>
            <w:r>
              <w:rPr>
                <w:b w:val="0"/>
                <w:i w:val="0"/>
                <w:color w:val="646B82"/>
                <w:sz w:val="17"/>
              </w:rPr>
              <w:t xml:space="preserve"> (nariadenie (EÚ) 2024/1689): </w:t>
            </w:r>
            <w:r>
              <w:rPr>
                <w:b w:val="0"/>
                <w:i w:val="0"/>
                <w:sz w:val="19"/>
              </w:rPr>
              <w:t>pravidlá pre systémy umelej inteligencie; relevantné pri modeloch AI v digitálnych dvojčatách.</w:t>
            </w:r>
          </w:p>
          <w:p>
            <w:pPr>
              <w:spacing w:before="20" w:after="60"/>
            </w:pPr>
            <w:r>
              <w:rPr>
                <w:b w:val="0"/>
                <w:i/>
                <w:color w:val="646B82"/>
                <w:sz w:val="17"/>
              </w:rPr>
              <w:t>Slúži len na orientáciu. Overte si, ako jednotlivé akty prebrala vaša krajina.</w:t>
            </w:r>
          </w:p>
        </w:tc>
      </w:tr>
    </w:tbl>
    <w:p>
      <w:r>
        <w:br w:type="page"/>
      </w:r>
    </w:p>
    <w:p>
      <w:pPr>
        <w:spacing w:before="120" w:after="160"/>
      </w:pPr>
      <w:r>
        <w:rPr>
          <w:b/>
          <w:i w:val="0"/>
          <w:color w:val="2F3F9E"/>
          <w:sz w:val="36"/>
        </w:rPr>
        <w:t>Ako brožúru používať</w:t>
      </w:r>
    </w:p>
    <w:p>
      <w:pPr>
        <w:spacing w:before="40" w:after="120"/>
      </w:pPr>
      <w:r>
        <w:rPr>
          <w:b/>
          <w:i w:val="0"/>
          <w:color w:val="2F3F9E"/>
          <w:sz w:val="22"/>
        </w:rPr>
        <w:t xml:space="preserve">1. Príprava  </w:t>
      </w:r>
      <w:r>
        <w:rPr>
          <w:b w:val="0"/>
          <w:i w:val="0"/>
          <w:sz w:val="20"/>
        </w:rPr>
        <w:t>Prečítajte si sedem kontrolných zoznamov. Označte tie, ktoré sa týkajú vašej zákazky. Väčšina zákaziek potrebuje MIM0, MIM1, MIM2 a MIM6; pridajte MIM3, keď sa údaje zdieľajú s tretími stranami alebo cez dátový portál, MIM7 pri čomkoľvek s mapou a MIM8 pri digitálnych dvojčatách.</w:t>
      </w:r>
    </w:p>
    <w:p>
      <w:pPr>
        <w:spacing w:before="40" w:after="120"/>
      </w:pPr>
      <w:r>
        <w:rPr>
          <w:b/>
          <w:i w:val="0"/>
          <w:color w:val="2F3F9E"/>
          <w:sz w:val="22"/>
        </w:rPr>
        <w:t xml:space="preserve">2. Súťažné podklady  </w:t>
      </w:r>
      <w:r>
        <w:rPr>
          <w:b w:val="0"/>
          <w:i w:val="0"/>
          <w:sz w:val="20"/>
        </w:rPr>
        <w:t>Skopírujte označené položky do opisu predmetu zákazky. Každá je napísaná ako veta na priame vloženie. Pridajte prierezové zmluvné klauzuly: stoja málo a bránia závislosti od dodávateľa.</w:t>
      </w:r>
    </w:p>
    <w:p>
      <w:pPr>
        <w:spacing w:before="40" w:after="120"/>
      </w:pPr>
      <w:r>
        <w:rPr>
          <w:b/>
          <w:i w:val="0"/>
          <w:color w:val="2F3F9E"/>
          <w:sz w:val="22"/>
        </w:rPr>
        <w:t xml:space="preserve">3. Vyhodnotenie ponúk  </w:t>
      </w:r>
      <w:r>
        <w:rPr>
          <w:b w:val="0"/>
          <w:i w:val="0"/>
          <w:sz w:val="20"/>
        </w:rPr>
        <w:t>Žiadajte od uchádzačov ukázať, nie sľúbiť (pozri klauzulu s týmto názvom). Splnenie overte podľa tabuľky zhody, ktorú uchádzač vyplnil.</w:t>
      </w:r>
    </w:p>
    <w:p>
      <w:pPr>
        <w:spacing w:before="40" w:after="120"/>
      </w:pPr>
      <w:r>
        <w:rPr>
          <w:b/>
          <w:i w:val="0"/>
          <w:color w:val="2F3F9E"/>
          <w:sz w:val="22"/>
        </w:rPr>
        <w:t xml:space="preserve">4. Prevzatie plnenia  </w:t>
      </w:r>
      <w:r>
        <w:rPr>
          <w:b w:val="0"/>
          <w:i w:val="0"/>
          <w:sz w:val="20"/>
        </w:rPr>
        <w:t>Pri odovzdaní a prevzatí znovu otestujte každú označenú položku. Požiadavka, ktorá sa pri prevzatí netestuje, nikdy nebola požiadavkou.</w:t>
      </w:r>
    </w:p>
    <w:p>
      <w:pPr>
        <w:spacing w:before="200" w:after="80"/>
      </w:pPr>
      <w:r>
        <w:rPr>
          <w:b/>
          <w:i w:val="0"/>
          <w:color w:val="0B7485"/>
          <w:sz w:val="22"/>
        </w:rPr>
        <w:t>Ako čítať citácie zo špecifikácie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MUSÍ, MUSIA (SHALL / MUST)</w:t>
            </w:r>
            <w:r>
              <w:rPr>
                <w:b w:val="0"/>
                <w:i w:val="0"/>
                <w:sz w:val="19"/>
              </w:rPr>
              <w:t xml:space="preserve">  povinné. Bez toho systém nie je v súlade.</w:t>
            </w:r>
          </w:p>
          <w:p>
            <w:pPr>
              <w:spacing w:before="20" w:after="60"/>
            </w:pPr>
            <w:r>
              <w:rPr>
                <w:b/>
                <w:i w:val="0"/>
                <w:color w:val="2F3F9E"/>
                <w:sz w:val="19"/>
              </w:rPr>
              <w:t xml:space="preserve">•  </w:t>
            </w:r>
            <w:r>
              <w:rPr>
                <w:b/>
                <w:i w:val="0"/>
                <w:color w:val="2F3F9E"/>
                <w:sz w:val="19"/>
                <w:highlight w:val="yellow"/>
              </w:rPr>
              <w:t>NESMIE, NESMÚ (MUST NOT)</w:t>
            </w:r>
            <w:r>
              <w:rPr>
                <w:b w:val="0"/>
                <w:i w:val="0"/>
                <w:sz w:val="19"/>
              </w:rPr>
              <w:t xml:space="preserve">  zakázané. S tým systém nie je v súlade.</w:t>
            </w:r>
          </w:p>
          <w:p>
            <w:pPr>
              <w:spacing w:before="20" w:after="60"/>
            </w:pPr>
            <w:r>
              <w:rPr>
                <w:b/>
                <w:i w:val="0"/>
                <w:color w:val="2F3F9E"/>
                <w:sz w:val="19"/>
              </w:rPr>
              <w:t xml:space="preserve">•  </w:t>
            </w:r>
            <w:r>
              <w:rPr>
                <w:b/>
                <w:i w:val="0"/>
                <w:color w:val="2F3F9E"/>
                <w:sz w:val="19"/>
                <w:highlight w:val="yellow"/>
              </w:rPr>
              <w:t>MÁ, MAJÚ (SHOULD)</w:t>
            </w:r>
            <w:r>
              <w:rPr>
                <w:b w:val="0"/>
                <w:i w:val="0"/>
                <w:sz w:val="19"/>
              </w:rPr>
              <w:t xml:space="preserve">  dôrazne odporúčané. Odchýlka si žiada dobrý písomný dôvod.</w:t>
            </w:r>
          </w:p>
          <w:p>
            <w:pPr>
              <w:spacing w:before="20" w:after="60"/>
            </w:pPr>
            <w:r>
              <w:rPr>
                <w:b/>
                <w:i w:val="0"/>
                <w:color w:val="2F3F9E"/>
                <w:sz w:val="19"/>
              </w:rPr>
              <w:t xml:space="preserve">•  </w:t>
            </w:r>
            <w:r>
              <w:rPr>
                <w:b/>
                <w:i w:val="0"/>
                <w:color w:val="2F3F9E"/>
                <w:sz w:val="19"/>
                <w:highlight w:val="yellow"/>
              </w:rPr>
              <w:t>MÔŽE, MÔŽU (MAY)</w:t>
            </w:r>
            <w:r>
              <w:rPr>
                <w:b w:val="0"/>
                <w:i w:val="0"/>
                <w:sz w:val="19"/>
              </w:rPr>
              <w:t xml:space="preserve">  voliteľné. Vítané, nikdy nie podmienka.</w:t>
            </w:r>
          </w:p>
          <w:p>
            <w:pPr>
              <w:spacing w:before="20" w:after="60"/>
            </w:pPr>
            <w:r>
              <w:rPr>
                <w:b/>
                <w:i w:val="0"/>
                <w:color w:val="2F3F9E"/>
                <w:sz w:val="19"/>
              </w:rPr>
              <w:t xml:space="preserve">•  </w:t>
            </w:r>
            <w:r>
              <w:rPr>
                <w:b/>
                <w:i w:val="0"/>
                <w:color w:val="2F3F9E"/>
                <w:sz w:val="19"/>
                <w:highlight w:val="yellow"/>
              </w:rPr>
              <w:t>MOŽNO, DÁ SA (CAN)</w:t>
            </w:r>
            <w:r>
              <w:rPr>
                <w:b w:val="0"/>
                <w:i w:val="0"/>
                <w:sz w:val="19"/>
              </w:rPr>
              <w:t xml:space="preserve">  možnosť, nie požiadavka. Hovorí, čo je možné, a nikomu nič neukladá.</w:t>
            </w:r>
          </w:p>
          <w:p>
            <w:pPr>
              <w:spacing w:before="20" w:after="60"/>
            </w:pPr>
            <w:r>
              <w:rPr>
                <w:b w:val="0"/>
                <w:i w:val="0"/>
                <w:sz w:val="19"/>
              </w:rPr>
              <w:t>Položky zoznamu formulujú požiadavky ako záväzné („musí“), aj keď špecifikácia miestami len odporúča (should) alebo uvádza kandidátsky mechanizmus. Je to rozhodnutie verejného obstarávateľa.</w:t>
            </w:r>
          </w:p>
        </w:tc>
      </w:tr>
    </w:tbl>
    <w:p>
      <w:pPr>
        <w:spacing w:before="160" w:after="80"/>
      </w:pPr>
      <w:r>
        <w:rPr>
          <w:b w:val="0"/>
          <w:i/>
          <w:color w:val="646B82"/>
          <w:sz w:val="18"/>
        </w:rPr>
        <w:t>Každá položka zoznamu nesie malý odkaz ako → MIM0 R1.1. To je požiadavka špecifikácie MIMs Plus 9.0, z ktorej vychádza; hneď za zoznamom nájdete všetky požiadavky daného MIM doslovne. Kľúčové slová definuje len MIM0: platia, keď sú napísané verzálkami, čo je konvencia IETF RFC 2119 a RFC 8174 (CAN pochádza z pravidiel ISO/IEC Directives, Part 2). Ostatné MIMs definíciu nemajú: MIM6 píše SHALL prevažne verzálkami, MIM2, MIM3, MIM7 a MIM8 píšu shall, should a must malými písmenami a MIM1 ich používa len v opise mechanizmu (MUST NOT v časti 3.1). Táto brožúra číta malé slová rovnako; uchádzač ich môže čítať voľnejšie.</w:t>
      </w:r>
    </w:p>
    <w:p>
      <w:r>
        <w:br w:type="page"/>
      </w:r>
    </w:p>
    <w:p>
      <w:pPr>
        <w:spacing w:before="120" w:after="160"/>
      </w:pPr>
      <w:r>
        <w:rPr>
          <w:b/>
          <w:i w:val="0"/>
          <w:color w:val="2F3F9E"/>
          <w:sz w:val="36"/>
        </w:rPr>
        <w:t>Sedem MIMs a tri nástroje</w:t>
      </w:r>
    </w:p>
    <w:p>
      <w:pPr>
        <w:spacing w:before="40" w:after="200"/>
      </w:pPr>
      <w:r>
        <w:rPr>
          <w:b w:val="0"/>
          <w:i w:val="0"/>
          <w:sz w:val="21"/>
        </w:rPr>
        <w:t>Sedem malých mechanizmov, jeden cieľ: údaje zostanú pod kontrolou mesta a systémy budú vzájomne komunikovať.</w:t>
      </w:r>
    </w:p>
    <w:p>
      <w:pPr>
        <w:spacing w:before="40" w:after="20"/>
      </w:pPr>
      <w:r>
        <w:rPr>
          <w:b/>
          <w:i w:val="0"/>
          <w:color w:val="2F3F9E"/>
          <w:sz w:val="20"/>
        </w:rPr>
        <w:t xml:space="preserve">MIM0  </w:t>
      </w:r>
      <w:r>
        <w:rPr>
          <w:b/>
          <w:i w:val="0"/>
          <w:sz w:val="20"/>
        </w:rPr>
        <w:t>Prístup k údajom</w:t>
      </w:r>
    </w:p>
    <w:p>
      <w:pPr>
        <w:spacing w:before="40" w:after="20"/>
      </w:pPr>
      <w:r>
        <w:rPr>
          <w:b/>
          <w:i w:val="0"/>
          <w:color w:val="0B7485"/>
          <w:sz w:val="19"/>
        </w:rPr>
        <w:t xml:space="preserve">Dostaneme svoje údaje von?  </w:t>
      </w:r>
      <w:r>
        <w:rPr>
          <w:b w:val="0"/>
          <w:i w:val="0"/>
          <w:sz w:val="19"/>
        </w:rPr>
        <w:t>Údaje sú dostupné cez štandardné webové API v strojovo čitateľných formátoch.</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Prepojenie údajov</w:t>
      </w:r>
    </w:p>
    <w:p>
      <w:pPr>
        <w:spacing w:before="40" w:after="20"/>
      </w:pPr>
      <w:r>
        <w:rPr>
          <w:b/>
          <w:i w:val="0"/>
          <w:color w:val="0B7485"/>
          <w:sz w:val="19"/>
        </w:rPr>
        <w:t xml:space="preserve">Má každá vec trvalé meno?  </w:t>
      </w:r>
      <w:r>
        <w:rPr>
          <w:b w:val="0"/>
          <w:i w:val="0"/>
          <w:sz w:val="19"/>
        </w:rPr>
        <w:t>Každý senzor, lampa a budova má jedinečný a trvalý identifikátor.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Reprezentácia údajov</w:t>
      </w:r>
    </w:p>
    <w:p>
      <w:pPr>
        <w:spacing w:before="40" w:after="20"/>
      </w:pPr>
      <w:r>
        <w:rPr>
          <w:b/>
          <w:i w:val="0"/>
          <w:color w:val="0B7485"/>
          <w:sz w:val="19"/>
        </w:rPr>
        <w:t xml:space="preserve">Hovoríme spoločným jazykom?  </w:t>
      </w:r>
      <w:r>
        <w:rPr>
          <w:b w:val="0"/>
          <w:i w:val="0"/>
          <w:sz w:val="19"/>
        </w:rPr>
        <w:t>Údaje používajú štandardné, zdokumentované dátové modely s jasnými jednotkami.</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Výmena údajov</w:t>
      </w:r>
    </w:p>
    <w:p>
      <w:pPr>
        <w:spacing w:before="40" w:after="20"/>
      </w:pPr>
      <w:r>
        <w:rPr>
          <w:b/>
          <w:i w:val="0"/>
          <w:color w:val="0B7485"/>
          <w:sz w:val="19"/>
        </w:rPr>
        <w:t xml:space="preserve">Vieme zdieľať za jasných podmienok?  </w:t>
      </w:r>
      <w:r>
        <w:rPr>
          <w:b w:val="0"/>
          <w:i w:val="0"/>
          <w:sz w:val="19"/>
        </w:rPr>
        <w:t>Datasety sú v katalógu a zdieľajú sa pod šablónovými licenciami s jasnými pravidlami.</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Zabezpečenie údajov</w:t>
      </w:r>
    </w:p>
    <w:p>
      <w:pPr>
        <w:spacing w:before="40" w:after="20"/>
      </w:pPr>
      <w:r>
        <w:rPr>
          <w:b/>
          <w:i w:val="0"/>
          <w:color w:val="0B7485"/>
          <w:sz w:val="19"/>
        </w:rPr>
        <w:t xml:space="preserve">Sú naše údaje v bezpečí?  </w:t>
      </w:r>
      <w:r>
        <w:rPr>
          <w:b w:val="0"/>
          <w:i w:val="0"/>
          <w:sz w:val="19"/>
        </w:rPr>
        <w:t>Šifrovaný prenos, štandardné prihlasovanie, rolové prístupy, auditné záznamy.</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Geopriestorové údaje</w:t>
      </w:r>
    </w:p>
    <w:p>
      <w:pPr>
        <w:spacing w:before="40" w:after="20"/>
      </w:pPr>
      <w:r>
        <w:rPr>
          <w:b/>
          <w:i w:val="0"/>
          <w:color w:val="0B7485"/>
          <w:sz w:val="19"/>
        </w:rPr>
        <w:t xml:space="preserve">Funguje to na mape?  </w:t>
      </w:r>
      <w:r>
        <w:rPr>
          <w:b w:val="0"/>
          <w:i w:val="0"/>
          <w:sz w:val="19"/>
        </w:rPr>
        <w:t>Priestorové údaje používajú rozhrania OGC, otvorené formáty a deklarované súradnicové systémy.</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Lokálne digitálne dvojčatá</w:t>
      </w:r>
    </w:p>
    <w:p>
      <w:pPr>
        <w:spacing w:before="40" w:after="20"/>
      </w:pPr>
      <w:r>
        <w:rPr>
          <w:b/>
          <w:i w:val="0"/>
          <w:color w:val="0B7485"/>
          <w:sz w:val="19"/>
        </w:rPr>
        <w:t xml:space="preserve">Môže naše dvojča rásť?  </w:t>
      </w:r>
      <w:r>
        <w:rPr>
          <w:b w:val="0"/>
          <w:i w:val="0"/>
          <w:sz w:val="19"/>
        </w:rPr>
        <w:t>Údaje, modely a výsledky dvojčaťa zostávajú prístupné, zdokumentované a znovu použiteľné.</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Nástroje pre vašu zákazku</w:t>
      </w:r>
    </w:p>
    <w:p>
      <w:pPr>
        <w:spacing w:before="40" w:after="20"/>
      </w:pPr>
      <w:r>
        <w:rPr>
          <w:b/>
          <w:i w:val="0"/>
          <w:color w:val="2F3F9E"/>
          <w:sz w:val="20"/>
        </w:rPr>
        <w:t>Prierezové zmluvné klauzuly</w:t>
      </w:r>
    </w:p>
    <w:p>
      <w:pPr>
        <w:spacing w:before="40" w:after="120"/>
      </w:pPr>
      <w:r>
        <w:rPr>
          <w:b/>
          <w:i w:val="0"/>
          <w:color w:val="0B7485"/>
          <w:sz w:val="19"/>
        </w:rPr>
        <w:t xml:space="preserve">Čo dať do každej zmluvy?  </w:t>
      </w:r>
      <w:r>
        <w:rPr>
          <w:b w:val="0"/>
          <w:i w:val="0"/>
          <w:sz w:val="19"/>
        </w:rPr>
        <w:t>Exit, práva k údajom, stabilita API.</w:t>
      </w:r>
    </w:p>
    <w:p>
      <w:pPr>
        <w:spacing w:before="40" w:after="20"/>
      </w:pPr>
      <w:r>
        <w:rPr>
          <w:b/>
          <w:i w:val="0"/>
          <w:color w:val="2F3F9E"/>
          <w:sz w:val="20"/>
        </w:rPr>
        <w:t>Príklad: senzory kvality ovzdušia</w:t>
      </w:r>
    </w:p>
    <w:p>
      <w:pPr>
        <w:spacing w:before="40" w:after="120"/>
      </w:pPr>
      <w:r>
        <w:rPr>
          <w:b/>
          <w:i w:val="0"/>
          <w:color w:val="0B7485"/>
          <w:sz w:val="19"/>
        </w:rPr>
        <w:t xml:space="preserve">Ako to vyzerá v praxi?  </w:t>
      </w:r>
      <w:r>
        <w:rPr>
          <w:b w:val="0"/>
          <w:i w:val="0"/>
          <w:sz w:val="19"/>
        </w:rPr>
        <w:t>Kam čo patrí a ukážka textu na vloženie.</w:t>
      </w:r>
    </w:p>
    <w:p>
      <w:pPr>
        <w:spacing w:before="40" w:after="20"/>
      </w:pPr>
      <w:r>
        <w:rPr>
          <w:b/>
          <w:i w:val="0"/>
          <w:color w:val="2F3F9E"/>
          <w:sz w:val="20"/>
        </w:rPr>
        <w:t>Tabuľka zhody</w:t>
      </w:r>
    </w:p>
    <w:p>
      <w:pPr>
        <w:spacing w:before="40" w:after="120"/>
      </w:pPr>
      <w:r>
        <w:rPr>
          <w:b/>
          <w:i w:val="0"/>
          <w:color w:val="0B7485"/>
          <w:sz w:val="19"/>
        </w:rPr>
        <w:t xml:space="preserve">Ako to uchádzač preukáže?  </w:t>
      </w:r>
      <w:r>
        <w:rPr>
          <w:b w:val="0"/>
          <w:i w:val="0"/>
          <w:sz w:val="19"/>
        </w:rPr>
        <w:t>Vypĺňa uchádzač, overuje komisia, príloha zmluvy.</w:t>
      </w:r>
    </w:p>
    <w:p>
      <w:pPr>
        <w:spacing w:before="80" w:after="80"/>
      </w:pPr>
      <w:r>
        <w:rPr>
          <w:b w:val="0"/>
          <w:i/>
          <w:color w:val="646B82"/>
          <w:sz w:val="18"/>
        </w:rPr>
        <w:t>K číslovaniu: MIMs Plus 9.0 špecifikuje sedem mechanizmov s číslami 0, 1, 2, 3, 6, 7 a 8. MIM4 (osobné údaje) a MIM5 (spravodlivá umelá inteligencia) patria k starším verziám OASC a súčasťou verzie 9.0 nie sú. V brožúre nič nechýba.</w:t>
      </w:r>
    </w:p>
    <w:p>
      <w:r>
        <w:br w:type="page"/>
      </w:r>
    </w:p>
    <w:p>
      <w:pPr>
        <w:spacing w:before="120" w:after="40"/>
      </w:pPr>
      <w:r>
        <w:rPr>
          <w:b/>
          <w:i w:val="0"/>
          <w:color w:val="2F3F9E"/>
          <w:sz w:val="36"/>
        </w:rPr>
        <w:t>MIM0 · Dostaneme svoje údaje von?</w:t>
      </w:r>
    </w:p>
    <w:p>
      <w:pPr>
        <w:spacing w:before="40" w:after="40"/>
      </w:pPr>
      <w:r>
        <w:rPr>
          <w:b w:val="0"/>
          <w:i w:val="0"/>
          <w:color w:val="646B82"/>
          <w:sz w:val="20"/>
        </w:rPr>
        <w:t xml:space="preserve">Prístup k údajom   </w:t>
      </w:r>
      <w:hyperlink r:id="rId13">
        <w:r>
          <w:rPr>
            <w:color w:val="2F3F9E"/>
            <w:u w:val="single"/>
            <w:sz w:val="17.0"/>
          </w:rPr>
          <w:t>mims.oascities.org/accessing-data</w:t>
        </w:r>
      </w:hyperlink>
    </w:p>
    <w:p>
      <w:pPr>
        <w:spacing w:before="120" w:after="200"/>
      </w:pPr>
      <w:r>
        <w:rPr>
          <w:b w:val="0"/>
          <w:i w:val="0"/>
          <w:sz w:val="20"/>
        </w:rPr>
        <w:t>Toto je základ. Ak údaje nevedia opustiť systém cez štandardné rozhranie, všetko ostatné v tejto brožúre je len teória. MIM0 žiada od každého systému jediné: údaje musia byť dosiahnuteľné cez bežný web, v podobe čitateľnej strojmi.</w:t>
      </w:r>
    </w:p>
    <w:p>
      <w:pPr>
        <w:spacing w:before="40" w:after="20"/>
      </w:pPr>
      <w:r>
        <w:rPr>
          <w:b/>
          <w:i w:val="0"/>
          <w:color w:val="2F3F9E"/>
          <w:sz w:val="22"/>
        </w:rPr>
        <w:t xml:space="preserve">☐  </w:t>
      </w:r>
      <w:r>
        <w:rPr>
          <w:b/>
          <w:i w:val="0"/>
          <w:color w:val="2F3F9E"/>
          <w:sz w:val="20"/>
        </w:rPr>
        <w:t xml:space="preserve">0.1  </w:t>
      </w:r>
      <w:r>
        <w:rPr>
          <w:b/>
          <w:i w:val="0"/>
          <w:sz w:val="20"/>
        </w:rPr>
        <w:t>Systém musí sprístupňovať všetky údaje, ktoré zbiera alebo vytvára, aspoň v jednom strojovo čitateľnom formáte (napr. JSON, CSV) cez štandardné webové API.</w:t>
      </w:r>
    </w:p>
    <w:p>
      <w:pPr>
        <w:spacing w:before="40" w:after="140"/>
      </w:pPr>
      <w:r>
        <w:rPr>
          <w:b w:val="0"/>
          <w:i/>
          <w:color w:val="646B82"/>
          <w:sz w:val="18"/>
        </w:rPr>
        <w:t xml:space="preserve">Váš ďalší dodávateľ alebo vlastní zamestnanci použijú údaje bez žiadostí o súčinnosť.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musí byť formálne opísané v otvorenom, strojovo čitateľnom dokumente (napr. OpenAPI) zverejnenom na stálej adrese.</w:t>
      </w:r>
    </w:p>
    <w:p>
      <w:pPr>
        <w:spacing w:before="40" w:after="140"/>
      </w:pPr>
      <w:r>
        <w:rPr>
          <w:b w:val="0"/>
          <w:i/>
          <w:color w:val="646B82"/>
          <w:sz w:val="18"/>
        </w:rPr>
        <w:t xml:space="preserve">Ktorýkoľvek vývojár sa pripojí bez platenej integračnej analýzy.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API musí umožňovať filtrovanie údajov podľa času, miesta a atribútov.</w:t>
      </w:r>
    </w:p>
    <w:p>
      <w:pPr>
        <w:spacing w:before="40" w:after="140"/>
      </w:pPr>
      <w:r>
        <w:rPr>
          <w:b w:val="0"/>
          <w:i/>
          <w:color w:val="646B82"/>
          <w:sz w:val="18"/>
        </w:rPr>
        <w:t xml:space="preserve">Stiahnete len to, čo potrebujete, nie nočný export celej databázy.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Pri potrebe údajov v reálnom čase musí systém umožniť odber zmien (webhooky, MQTT a pod.) namiesto neustáleho dopytovania.</w:t>
      </w:r>
    </w:p>
    <w:p>
      <w:pPr>
        <w:spacing w:before="40" w:after="140"/>
      </w:pPr>
      <w:r>
        <w:rPr>
          <w:b w:val="0"/>
          <w:i/>
          <w:color w:val="646B82"/>
          <w:sz w:val="18"/>
        </w:rPr>
        <w:t xml:space="preserve">Prehľady a notifikácie v reálnom čase sú možné a lacné.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Chybové stavy, vyrovnávacia pamäť (cache) a limity požiadaviek musia používať štandardné HTTP konvencie a musia byť zdokumentované.</w:t>
      </w:r>
    </w:p>
    <w:p>
      <w:pPr>
        <w:spacing w:before="40" w:after="140"/>
      </w:pPr>
      <w:r>
        <w:rPr>
          <w:b w:val="0"/>
          <w:i/>
          <w:color w:val="646B82"/>
          <w:sz w:val="18"/>
        </w:rPr>
        <w:t xml:space="preserve">Keď integrácia zlyhá, hneď vidno prečo a kde to opraviť.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PREČO NA TOM ZÁLEŽÍ</w:t>
            </w:r>
          </w:p>
          <w:p>
            <w:pPr>
              <w:spacing w:before="20" w:after="60"/>
            </w:pPr>
            <w:r>
              <w:rPr>
                <w:b/>
                <w:i w:val="0"/>
                <w:color w:val="2F3F9E"/>
                <w:sz w:val="18"/>
              </w:rPr>
              <w:t xml:space="preserve">•  </w:t>
            </w:r>
            <w:r>
              <w:rPr>
                <w:b w:val="0"/>
                <w:i w:val="0"/>
                <w:sz w:val="18"/>
              </w:rPr>
              <w:t>Údaje, ktoré ste zaplatili, zostanú použiteľné aj po skončení zmluvy.</w:t>
            </w:r>
          </w:p>
          <w:p>
            <w:pPr>
              <w:spacing w:before="20" w:after="60"/>
            </w:pPr>
            <w:r>
              <w:rPr>
                <w:b/>
                <w:i w:val="0"/>
                <w:color w:val="2F3F9E"/>
                <w:sz w:val="18"/>
              </w:rPr>
              <w:t xml:space="preserve">•  </w:t>
            </w:r>
            <w:r>
              <w:rPr>
                <w:b w:val="0"/>
                <w:i w:val="0"/>
                <w:sz w:val="18"/>
              </w:rPr>
              <w:t>Nové služby stavajú na existujúcich údajoch namiesto štartu od nuly.</w:t>
            </w:r>
          </w:p>
          <w:p>
            <w:pPr>
              <w:spacing w:before="20" w:after="60"/>
            </w:pPr>
            <w:r>
              <w:rPr>
                <w:b/>
                <w:i w:val="0"/>
                <w:color w:val="2F3F9E"/>
                <w:sz w:val="18"/>
              </w:rPr>
              <w:t xml:space="preserve">•  </w:t>
            </w:r>
            <w:r>
              <w:rPr>
                <w:b w:val="0"/>
                <w:i w:val="0"/>
                <w:sz w:val="18"/>
              </w:rPr>
              <w:t>Náklady na integráciu klesajú s každým ďalším projektom.</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„Export údajov na vyžiadanie cez podporu.“</w:t>
            </w:r>
          </w:p>
          <w:p>
            <w:pPr>
              <w:spacing w:before="20" w:after="60"/>
            </w:pPr>
            <w:r>
              <w:rPr>
                <w:b/>
                <w:i w:val="0"/>
                <w:color w:val="A02020"/>
                <w:sz w:val="18"/>
              </w:rPr>
              <w:t xml:space="preserve">•  </w:t>
            </w:r>
            <w:r>
              <w:rPr>
                <w:b w:val="0"/>
                <w:i w:val="0"/>
                <w:sz w:val="18"/>
              </w:rPr>
              <w:t>„API je platený modul.“</w:t>
            </w:r>
          </w:p>
          <w:p>
            <w:pPr>
              <w:spacing w:before="20" w:after="60"/>
            </w:pPr>
            <w:r>
              <w:rPr>
                <w:b/>
                <w:i w:val="0"/>
                <w:color w:val="A02020"/>
                <w:sz w:val="18"/>
              </w:rPr>
              <w:t xml:space="preserve">•  </w:t>
            </w:r>
            <w:r>
              <w:rPr>
                <w:b w:val="0"/>
                <w:i w:val="0"/>
                <w:sz w:val="18"/>
              </w:rPr>
              <w:t>Spoplatnený prístup mesta k vlastným údajom (pozri klauzulu „Žiadne poplatky za vlastné údaje“).</w:t>
            </w:r>
          </w:p>
        </w:tc>
      </w:tr>
    </w:tbl>
    <w:p>
      <w:pPr>
        <w:spacing w:before="280" w:after="40"/>
      </w:pPr>
      <w:r>
        <w:rPr>
          <w:b/>
          <w:i w:val="0"/>
          <w:color w:val="2F3F9E"/>
          <w:sz w:val="26"/>
        </w:rPr>
        <w:t>Čo hovorí špecifikácia</w:t>
      </w:r>
    </w:p>
    <w:p>
      <w:pPr>
        <w:spacing w:before="40" w:after="120"/>
      </w:pPr>
      <w:r>
        <w:rPr>
          <w:b w:val="0"/>
          <w:i w:val="0"/>
          <w:color w:val="646B82"/>
          <w:sz w:val="18"/>
        </w:rPr>
        <w:t>Všetky požiadavky tohto MIM zo špecifikácie MIMs Plus 9.0. Špecifikácia existuje len po anglicky: slovenské znenie je neoficiálny preklad autora brožúry, záväzný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Strojovo čitateľné údaje sú dostupné cez 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Systémy MUSIA umožniť získanie údajov aspoň v jednom strojovo čitateľnom formáte. Formáty možno špecifikovať cez HTTP Content-Negotiation (dohodu o obsahu).</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Údaje MUSIA byť dostupné aspoň jedným štandardným webovým mechanizmom.</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Mechanizmy prístupu MUSIA byť formálne opísané.</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Dátové modely použité v prenášaných údajoch majú byť špecifikované (pozri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Prístup je štruktúrovaný a umožňuje dopytovanie</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Systémy MUSIA poskytovať údaje cez štruktúrované a konzistentné rozhranie.</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Systémy MUSIA podporovať základné dopytovanie a/alebo filtrovanie (napr. podľa času, polohy, atribútov).</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Ďalšie osvedčené postupy na zváženie:</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 MAJÚ podporovať získanie aktuálnych údajov</w:t>
              <w:br/>
              <w:t>API MAJÚ podporovať získanie historických údajov, ak je to relevantné</w:t>
              <w:br/>
              <w:t>API MAJÚ podporovať geopriestorové dopytovanie, ak je to relevantné (pozri MIM7)</w:t>
              <w:br/>
              <w:t>API MAJÚ podporovať odber zmien, ak je to relevantné</w:t>
              <w:br/>
              <w:t>API MAJÚ uvádzať čas najbližšej očakávanej aktualizácie</w:t>
              <w:br/>
              <w:t>API MAJÚ podporovať explicitné verzovanie koncových bodov</w:t>
              <w:br/>
              <w:t>API MAJÚ poskytovať vzorové odpovede alebo testovacie dopyty</w:t>
              <w:br/>
              <w:t>API MAJÚ podporovať štandardné HTTP hlavičky pre vyrovnávaciu pamäť</w:t>
              <w:br/>
              <w:t>API MAJÚ oznamovať stav limitov požiadaviek cez štandardné HTTP hlavičky</w:t>
              <w:br/>
              <w:t>API MAJÚ vracať štruktúrované chybové odpovede</w:t>
              <w:br/>
              <w:t>API MÔŽU podporovať čiastkové odpovede alebo projekcie dopytov</w:t>
              <w:br/>
              <w:t>API MÔŽU vystavovať štandardný koncový bod stavu služby</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Zmeny údajov je možné odoberať</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Systémy pre prípady použitia, ktoré vyžadujú notifikácie, MUSIA poskytovať aspoň jeden mechanizmus na prijímanie aktualizácií o zmenách údajov.</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Systémy MÔŽU podporovať viacero mechanizmov odberu v závislosti od prípadu použitia.</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Prístup k informáciám je možné obmedziť</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Ak sú takéto obmedzenia zavedené, MUSIA sa riadiť požiadavkami definovanými v MIM3 a MIM6, konkrétne: identifikácia aktérov (MIM3.C5.R0), autorizácia a roly aktérov (MIM6.C1.R4), politiky na úrovni dátových aktív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Celé znenie špecifikácie: </w:t>
      </w:r>
      <w:hyperlink r:id="rId13">
        <w:r>
          <w:rPr>
            <w:color w:val="2F3F9E"/>
            <w:u w:val="single"/>
            <w:sz w:val="18"/>
          </w:rPr>
          <w:t>https://mims.oascities.org/accessing-data</w:t>
        </w:r>
      </w:hyperlink>
    </w:p>
    <w:p>
      <w:r>
        <w:br w:type="page"/>
      </w:r>
    </w:p>
    <w:p>
      <w:pPr>
        <w:spacing w:before="120" w:after="40"/>
      </w:pPr>
      <w:r>
        <w:rPr>
          <w:b/>
          <w:i w:val="0"/>
          <w:color w:val="2F3F9E"/>
          <w:sz w:val="36"/>
        </w:rPr>
        <w:t>MIM1 · Má každá vec trvalé meno?</w:t>
      </w:r>
    </w:p>
    <w:p>
      <w:pPr>
        <w:spacing w:before="40" w:after="40"/>
      </w:pPr>
      <w:r>
        <w:rPr>
          <w:b w:val="0"/>
          <w:i w:val="0"/>
          <w:color w:val="646B82"/>
          <w:sz w:val="20"/>
        </w:rPr>
        <w:t xml:space="preserve">Prepojenie údajov   </w:t>
      </w:r>
      <w:hyperlink r:id="rId14">
        <w:r>
          <w:rPr>
            <w:color w:val="2F3F9E"/>
            <w:u w:val="single"/>
            <w:sz w:val="17.0"/>
          </w:rPr>
          <w:t>mims.oascities.org/interlinking-data</w:t>
        </w:r>
      </w:hyperlink>
    </w:p>
    <w:p>
      <w:pPr>
        <w:spacing w:before="120" w:after="200"/>
      </w:pPr>
      <w:r>
        <w:rPr>
          <w:b w:val="0"/>
          <w:i w:val="0"/>
          <w:sz w:val="20"/>
        </w:rPr>
        <w:t>Mesto je plné vecí: lampy, potrubia, budovy, parkovacie miesta. Systémy prichádzajú a odchádzajú, veci zostávajú. MIM1 žiada, aby každá vec dostala meno, teda identifikátor, ktorý prežije softvér, ktorý ju prvý raz zaznamenal. Jej história a väzby na iné údaje potom prežijú každú migráciu.</w:t>
      </w:r>
    </w:p>
    <w:p>
      <w:pPr>
        <w:spacing w:before="40" w:after="20"/>
      </w:pPr>
      <w:r>
        <w:rPr>
          <w:b/>
          <w:i w:val="0"/>
          <w:color w:val="2F3F9E"/>
          <w:sz w:val="22"/>
        </w:rPr>
        <w:t xml:space="preserve">☐  </w:t>
      </w:r>
      <w:r>
        <w:rPr>
          <w:b/>
          <w:i w:val="0"/>
          <w:color w:val="2F3F9E"/>
          <w:sz w:val="20"/>
        </w:rPr>
        <w:t xml:space="preserve">1.1  </w:t>
      </w:r>
      <w:r>
        <w:rPr>
          <w:b/>
          <w:i w:val="0"/>
          <w:sz w:val="20"/>
        </w:rPr>
        <w:t>Každá entita (senzor, lampa, budova, parkovacie miesto…) musí mať jedinečný a trvalý identifikátor, ktorý sa nemení pri výmene softvéru.</w:t>
      </w:r>
    </w:p>
    <w:p>
      <w:pPr>
        <w:spacing w:before="40" w:after="140"/>
      </w:pPr>
      <w:r>
        <w:rPr>
          <w:b w:val="0"/>
          <w:i/>
          <w:color w:val="646B82"/>
          <w:sz w:val="18"/>
        </w:rPr>
        <w:t xml:space="preserve">História a väzby medzi systémami prežijú dodávateľa.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Podľa identifikátora musí byť možné dohľadať údaje entity aj jej význam (typ) v strojovo čitateľnej podobe.</w:t>
      </w:r>
    </w:p>
    <w:p>
      <w:pPr>
        <w:spacing w:before="40" w:after="140"/>
      </w:pPr>
      <w:r>
        <w:rPr>
          <w:b w:val="0"/>
          <w:i/>
          <w:color w:val="646B82"/>
          <w:sz w:val="18"/>
        </w:rPr>
        <w:t xml:space="preserve">Iné systémy dokážu odkaz automaticky nasledovať.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Ak tá istá vec existuje vo viacerých systémoch, identifikátory musí byť možné vzájomne namapovať.</w:t>
      </w:r>
    </w:p>
    <w:p>
      <w:pPr>
        <w:spacing w:before="40" w:after="140"/>
      </w:pPr>
      <w:r>
        <w:rPr>
          <w:b w:val="0"/>
          <w:i/>
          <w:color w:val="646B82"/>
          <w:sz w:val="18"/>
        </w:rPr>
        <w:t xml:space="preserve">Budova v GIS a v energetickom systéme je preukázateľne tá istá budova.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Identifikátory nesmú obsahovať interné detaily dodávateľa (ID riadku v databáze, názvy serverov).</w:t>
      </w:r>
    </w:p>
    <w:p>
      <w:pPr>
        <w:spacing w:before="40" w:after="140"/>
      </w:pPr>
      <w:r>
        <w:rPr>
          <w:b w:val="0"/>
          <w:i/>
          <w:color w:val="646B82"/>
          <w:sz w:val="18"/>
        </w:rPr>
        <w:t xml:space="preserve">Inak identifikátory zaniknú spolu so zmluvou.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PREČO NA TOM ZÁLEŽÍ</w:t>
            </w:r>
          </w:p>
          <w:p>
            <w:pPr>
              <w:spacing w:before="20" w:after="60"/>
            </w:pPr>
            <w:r>
              <w:rPr>
                <w:b/>
                <w:i w:val="0"/>
                <w:color w:val="2F3F9E"/>
                <w:sz w:val="18"/>
              </w:rPr>
              <w:t xml:space="preserve">•  </w:t>
            </w:r>
            <w:r>
              <w:rPr>
                <w:b w:val="0"/>
                <w:i w:val="0"/>
                <w:sz w:val="18"/>
              </w:rPr>
              <w:t>Desať rokov meraní zostane pri správnom stĺpe osvetlenia.</w:t>
            </w:r>
          </w:p>
          <w:p>
            <w:pPr>
              <w:spacing w:before="20" w:after="60"/>
            </w:pPr>
            <w:r>
              <w:rPr>
                <w:b/>
                <w:i w:val="0"/>
                <w:color w:val="2F3F9E"/>
                <w:sz w:val="18"/>
              </w:rPr>
              <w:t xml:space="preserve">•  </w:t>
            </w:r>
            <w:r>
              <w:rPr>
                <w:b w:val="0"/>
                <w:i w:val="0"/>
                <w:sz w:val="18"/>
              </w:rPr>
              <w:t>Odbory prestanú viesť päť protirečivých evidencií tých istých vecí.</w:t>
            </w:r>
          </w:p>
          <w:p>
            <w:pPr>
              <w:spacing w:before="20" w:after="60"/>
            </w:pPr>
            <w:r>
              <w:rPr>
                <w:b/>
                <w:i w:val="0"/>
                <w:color w:val="2F3F9E"/>
                <w:sz w:val="18"/>
              </w:rPr>
              <w:t xml:space="preserve">•  </w:t>
            </w:r>
            <w:r>
              <w:rPr>
                <w:b w:val="0"/>
                <w:i w:val="0"/>
                <w:sz w:val="18"/>
              </w:rPr>
              <w:t>Prepájanie datasetov je bežný dopyt do databázy, nie konzultačný projekt.</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„ID sú interné pre našu platformu.“</w:t>
            </w:r>
          </w:p>
          <w:p>
            <w:pPr>
              <w:spacing w:before="20" w:after="60"/>
            </w:pPr>
            <w:r>
              <w:rPr>
                <w:b/>
                <w:i w:val="0"/>
                <w:color w:val="A02020"/>
                <w:sz w:val="18"/>
              </w:rPr>
              <w:t xml:space="preserve">•  </w:t>
            </w:r>
            <w:r>
              <w:rPr>
                <w:b w:val="0"/>
                <w:i w:val="0"/>
                <w:sz w:val="18"/>
              </w:rPr>
              <w:t>Identifikátory sa pri každej migrácii vygenerujú nanovo.</w:t>
            </w:r>
          </w:p>
        </w:tc>
      </w:tr>
    </w:tbl>
    <w:p>
      <w:pPr>
        <w:spacing w:before="280" w:after="40"/>
      </w:pPr>
      <w:r>
        <w:rPr>
          <w:b/>
          <w:i w:val="0"/>
          <w:color w:val="2F3F9E"/>
          <w:sz w:val="26"/>
        </w:rPr>
        <w:t>Čo hovorí špecifikácia</w:t>
      </w:r>
    </w:p>
    <w:p>
      <w:pPr>
        <w:spacing w:before="40" w:after="120"/>
      </w:pPr>
      <w:r>
        <w:rPr>
          <w:b w:val="0"/>
          <w:i w:val="0"/>
          <w:color w:val="646B82"/>
          <w:sz w:val="18"/>
        </w:rPr>
        <w:t>Všetky požiadavky tohto MIM zo špecifikácie MIMs Plus 9.0. Špecifikácia existuje len po anglicky: slovenské znenie je neoficiálny preklad autora brožúry, záväzný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Entity sú identifikované jedinečnými identifikátormi</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Každá entita v systéme má jedinečný identifikátor.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Existuje spôsob, ako získať informácie o entite vyhľadaním jej identifikátora v systéme.</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Ak jedinečný identifikátor ukazuje na tú istú entitu vo viacerých systémoch, je možné odvodiť, ako o nej vyhľadať informácie v každom z týchto systémov.</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Ak na tú istú entitu ukazuje viacero jedinečných identifikátorov, je možné ich vzájomne namapovať.</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Je možné vytvárať identifikátory, ktoré sú trvalé v čase.</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Entitám je možné priradiť typ</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Existuje spôsob, ako získať sémantiku entity len pomocou jej jedinečného identifikátora.</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Táto sémantika je opísaná v strojovo čitateľnom formáte.</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Na entity je možné odkazovať a odkazy vyhodnocovať (dereferencovanie)</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Existuje spôsob, ako dereferencovať vzťah definovaný na entite.</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Existuje spôsob, ako k existujúcej ontológii doplniť ďalšiu sémantiku.</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Mechanizmus 1, časť 3.1: Identifikácia entít globálne jedinečnými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sa vo všetkých nadväzujúcich systémoch považuje za kanonický identifikátor; implementácie NESMÚ generovať IRI, ktoré obsahujú nestále implementačné detaily, ako sú ID riadkov v databáze alebo názvy serverov.</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Celé znenie špecifikácie: </w:t>
      </w:r>
      <w:hyperlink r:id="rId14">
        <w:r>
          <w:rPr>
            <w:color w:val="2F3F9E"/>
            <w:u w:val="single"/>
            <w:sz w:val="18"/>
          </w:rPr>
          <w:t>https://mims.oascities.org/interlinking-data</w:t>
        </w:r>
      </w:hyperlink>
    </w:p>
    <w:p>
      <w:r>
        <w:br w:type="page"/>
      </w:r>
    </w:p>
    <w:p>
      <w:pPr>
        <w:spacing w:before="120" w:after="40"/>
      </w:pPr>
      <w:r>
        <w:rPr>
          <w:b/>
          <w:i w:val="0"/>
          <w:color w:val="2F3F9E"/>
          <w:sz w:val="36"/>
        </w:rPr>
        <w:t>MIM2 · Hovoríme spoločným jazykom?</w:t>
      </w:r>
    </w:p>
    <w:p>
      <w:pPr>
        <w:spacing w:before="40" w:after="40"/>
      </w:pPr>
      <w:r>
        <w:rPr>
          <w:b w:val="0"/>
          <w:i w:val="0"/>
          <w:color w:val="646B82"/>
          <w:sz w:val="20"/>
        </w:rPr>
        <w:t xml:space="preserve">Reprezentácia údajov   </w:t>
      </w:r>
      <w:hyperlink r:id="rId15">
        <w:r>
          <w:rPr>
            <w:color w:val="2F3F9E"/>
            <w:u w:val="single"/>
            <w:sz w:val="17.0"/>
          </w:rPr>
          <w:t>mims.oascities.org/representing-data</w:t>
        </w:r>
      </w:hyperlink>
    </w:p>
    <w:p>
      <w:pPr>
        <w:spacing w:before="120" w:after="200"/>
      </w:pPr>
      <w:r>
        <w:rPr>
          <w:b w:val="0"/>
          <w:i w:val="0"/>
          <w:sz w:val="20"/>
        </w:rPr>
        <w:t>Dva systémy môžu exportovať JSON, a predsa si nerozumieť. MIM2 je o význame: o zdieľaných, zdokumentovaných dátových modeloch s jasnými jednotkami a formátmi. „Teplota“, „parkovacie miesto“ či „kvalita ovzdušia“ potom znamenajú to isté v každom systéme, ktorý vlastníte.</w:t>
      </w:r>
    </w:p>
    <w:p>
      <w:pPr>
        <w:spacing w:before="40" w:after="20"/>
      </w:pPr>
      <w:r>
        <w:rPr>
          <w:b/>
          <w:i w:val="0"/>
          <w:color w:val="2F3F9E"/>
          <w:sz w:val="22"/>
        </w:rPr>
        <w:t xml:space="preserve">☐  </w:t>
      </w:r>
      <w:r>
        <w:rPr>
          <w:b/>
          <w:i w:val="0"/>
          <w:color w:val="2F3F9E"/>
          <w:sz w:val="20"/>
        </w:rPr>
        <w:t xml:space="preserve">2.1  </w:t>
      </w:r>
      <w:r>
        <w:rPr>
          <w:b/>
          <w:i w:val="0"/>
          <w:sz w:val="20"/>
        </w:rPr>
        <w:t>Údaje musia používať všeobecne uznávané štandardné dátové modely, ak existujú (napr. Smart Data Models, SAREF, ISO/IEC 5087); odchýlky musia byť písomne zdôvodnené.</w:t>
      </w:r>
    </w:p>
    <w:p>
      <w:pPr>
        <w:spacing w:before="40" w:after="140"/>
      </w:pPr>
      <w:r>
        <w:rPr>
          <w:b w:val="0"/>
          <w:i/>
          <w:color w:val="646B82"/>
          <w:sz w:val="18"/>
        </w:rPr>
        <w:t xml:space="preserve">Údaje od dvoch dodávateľov sa spoja bez prekladového projektu.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Všetky použité dátové modely musia byť explicitne zdokumentované vrátane merných jednotiek a formátov dátumu a času.</w:t>
      </w:r>
    </w:p>
    <w:p>
      <w:pPr>
        <w:spacing w:before="40" w:after="140"/>
      </w:pPr>
      <w:r>
        <w:rPr>
          <w:b w:val="0"/>
          <w:i/>
          <w:color w:val="646B82"/>
          <w:sz w:val="18"/>
        </w:rPr>
        <w:t xml:space="preserve">„Teplota: 23“ je bezcenná, ak nikto nenapísal, či ide o °C alebo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Rozšírenia sa musia dodávať ako zdokumentované profily alebo nadstavby nad štandardným modelom, nie ako upravená súkromná vetva (fork).</w:t>
      </w:r>
    </w:p>
    <w:p>
      <w:pPr>
        <w:spacing w:before="40" w:after="140"/>
      </w:pPr>
      <w:r>
        <w:rPr>
          <w:b w:val="0"/>
          <w:i/>
          <w:color w:val="646B82"/>
          <w:sz w:val="18"/>
        </w:rPr>
        <w:t xml:space="preserve">Zostanete kompatibilní s komunitou aj budúcimi aktualizáciami.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Každý model musí mať aspoň jednu otvorenú serializáciu s možnosťou validácie schémou (napr. JSON s JSON Schema).</w:t>
      </w:r>
    </w:p>
    <w:p>
      <w:pPr>
        <w:spacing w:before="40" w:after="140"/>
      </w:pPr>
      <w:r>
        <w:rPr>
          <w:b w:val="0"/>
          <w:i/>
          <w:color w:val="646B82"/>
          <w:sz w:val="18"/>
        </w:rPr>
        <w:t xml:space="preserve">Prichádzajúce údaje sa automaticky skontrolujú už na vstupe.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PREČO NA TOM ZÁLEŽÍ</w:t>
            </w:r>
          </w:p>
          <w:p>
            <w:pPr>
              <w:spacing w:before="20" w:after="60"/>
            </w:pPr>
            <w:r>
              <w:rPr>
                <w:b/>
                <w:i w:val="0"/>
                <w:color w:val="2F3F9E"/>
                <w:sz w:val="18"/>
              </w:rPr>
              <w:t xml:space="preserve">•  </w:t>
            </w:r>
            <w:r>
              <w:rPr>
                <w:b w:val="0"/>
                <w:i w:val="0"/>
                <w:sz w:val="18"/>
              </w:rPr>
              <w:t>Jeden prehľad číta údaje od mnohých dodávateľov bez adaptérov.</w:t>
            </w:r>
          </w:p>
          <w:p>
            <w:pPr>
              <w:spacing w:before="20" w:after="60"/>
            </w:pPr>
            <w:r>
              <w:rPr>
                <w:b/>
                <w:i w:val="0"/>
                <w:color w:val="2F3F9E"/>
                <w:sz w:val="18"/>
              </w:rPr>
              <w:t xml:space="preserve">•  </w:t>
            </w:r>
            <w:r>
              <w:rPr>
                <w:b w:val="0"/>
                <w:i w:val="0"/>
                <w:sz w:val="18"/>
              </w:rPr>
              <w:t>Vašim údajom rozumejú nástroje iných miest a ich údajom tie vaše.</w:t>
            </w:r>
          </w:p>
          <w:p>
            <w:pPr>
              <w:spacing w:before="20" w:after="60"/>
            </w:pPr>
            <w:r>
              <w:rPr>
                <w:b/>
                <w:i w:val="0"/>
                <w:color w:val="2F3F9E"/>
                <w:sz w:val="18"/>
              </w:rPr>
              <w:t xml:space="preserve">•  </w:t>
            </w:r>
            <w:r>
              <w:rPr>
                <w:b w:val="0"/>
                <w:i w:val="0"/>
                <w:sz w:val="18"/>
              </w:rPr>
              <w:t>Automatická validácia zachytí pokazené údaje skôr, než sa rozšíria.</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„Náš proprietárny model je bohatší než štandard.“</w:t>
            </w:r>
          </w:p>
          <w:p>
            <w:pPr>
              <w:spacing w:before="20" w:after="60"/>
            </w:pPr>
            <w:r>
              <w:rPr>
                <w:b/>
                <w:i w:val="0"/>
                <w:color w:val="A02020"/>
                <w:sz w:val="18"/>
              </w:rPr>
              <w:t xml:space="preserve">•  </w:t>
            </w:r>
            <w:r>
              <w:rPr>
                <w:b w:val="0"/>
                <w:i w:val="0"/>
                <w:sz w:val="18"/>
              </w:rPr>
              <w:t>Dokumentácia len po podpise dohody o mlčanlivosti (NDA).</w:t>
            </w:r>
          </w:p>
        </w:tc>
      </w:tr>
    </w:tbl>
    <w:p>
      <w:pPr>
        <w:spacing w:before="280" w:after="40"/>
      </w:pPr>
      <w:r>
        <w:rPr>
          <w:b/>
          <w:i w:val="0"/>
          <w:color w:val="2F3F9E"/>
          <w:sz w:val="26"/>
        </w:rPr>
        <w:t>Čo hovorí špecifikácia</w:t>
      </w:r>
    </w:p>
    <w:p>
      <w:pPr>
        <w:spacing w:before="40" w:after="120"/>
      </w:pPr>
      <w:r>
        <w:rPr>
          <w:b w:val="0"/>
          <w:i w:val="0"/>
          <w:color w:val="646B82"/>
          <w:sz w:val="18"/>
        </w:rPr>
        <w:t>Všetky požiadavky tohto MIM zo špecifikácie MIMs Plus 9.0. Špecifikácia existuje len po anglicky: slovenské znenie je neoficiálny preklad autora brožúry, záväzný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Všetky entity v zdrojoch údajov sú opísané konzistentnými dátovými modelmi, aby boli aplikácie a systémy interoperabilné</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Dátové modely použité pre všetky entity v ktoromkoľvek zdroji údajov musia byť explicitne uvedené. Musia byť dobre zdokumentované a mať opisné metadáta, v ktorých sú použité pojmy sémanticky jednoznačné. Pri atribútoch týkajúcich sa merných jednotiek, formátov času a pod. musia byť použité jednotky, formáty a pod. explicitne uvedené. Dátové modely majú byť katalogizované, aby sa dali ľahko nájsť.</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Použité dátové modely musia (vždy, keď je to možné) vychádzať zo všeobecne uznávaných štandardizovaných dátových modelov uvedených v špecifikácii.</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Ak nie je možné použiť existujúce štandardizované dátové modely, je potrebné usilovať sa o rozšírenie tých existujúcich štandardizovaných dátových modelov, ktoré sú najbližšie, alebo definovať nové, a to podľa osvedčených postupov a konvencií komunity alebo organizácie, ktorá dátové modely definuje.</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Použité dátové modely musia podporovať výmenu údajov uplatnením príslušných požiadaviek MIMs o prístupe k údajom a prepojení údajov.</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Rôzne dátové modely tej istej entity používané v spoločnom ekosystéme zdieľania údajov majú byť ľahko transformovateľné do spoločného dátového modelu</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Pre každý dátový ekosystém má byť vytvorený spoločný dátový model každej kľúčovej entity. Tento spoločný model má obsahovať všetky polia z rôznych dátových modelov danej entity, ktoré sa v ekosystéme používajú. Každý z týchto dátových modelov potom možno transformovať do spoločného dátového modelu.</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Údaje aj ich metadáta možno zdieľať v otvorených, štandardizovaných prenosových formátoch, aby ich rôzne nástroje a implementácie vymieňali a interpretovali konzistentne</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Každý použitý dátový model musí mať aspoň jeden definovaný strojovo čitateľný prenosový formát („serializáciu“), ktorý je otvorený, verejne dostupný a nezávislý od implementácie.</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Dokumentácia prenosového formátu má postačovať na vytvorenie neproprietárnej aplikácie alebo interpretera, ktorý dokáže zrekonštruovať všetky údaje uložené v tomto formáte.</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Ak sa pre ten istý dátový model podporuje viacero prenosových formátov, musia reprezentovať ten istý informačný obsah konzistentne a bez straty významu.</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Reprezentácia má podporovať validáciu pomocou verejne publikovaných schém, gramatík alebo rovnocenných strojovo čitateľných obmedzení, ak pre zvolený formát takéto validačné mechanizmy existujú.</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Ak je to užitočné, má byť možné vytvárať pre dátový model „aplikačné profily“, aby sa dali pridať alebo spresniť atribúty špecifické pre prípad použitia bez zmeny základného dátového modelu</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Aplikačné profily, ktoré rozširujú dátový model, nemajú ovplyvniť už existujúci model a jeho používateľov.</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Špecializácie alebo rozšírenia zavedené v aplikačnom profile modelu majú byť dobre zdokumentované, oddelene od základného dátového modelu.</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Celé znenie špecifikácie: </w:t>
      </w:r>
      <w:hyperlink r:id="rId15">
        <w:r>
          <w:rPr>
            <w:color w:val="2F3F9E"/>
            <w:u w:val="single"/>
            <w:sz w:val="18"/>
          </w:rPr>
          <w:t>https://mims.oascities.org/representing-data</w:t>
        </w:r>
      </w:hyperlink>
    </w:p>
    <w:p>
      <w:r>
        <w:br w:type="page"/>
      </w:r>
    </w:p>
    <w:p>
      <w:pPr>
        <w:spacing w:before="120" w:after="40"/>
      </w:pPr>
      <w:r>
        <w:rPr>
          <w:b/>
          <w:i w:val="0"/>
          <w:color w:val="2F3F9E"/>
          <w:sz w:val="36"/>
        </w:rPr>
        <w:t>MIM3 · Vieme zdieľať za jasných podmienok?</w:t>
      </w:r>
    </w:p>
    <w:p>
      <w:pPr>
        <w:spacing w:before="40" w:after="40"/>
      </w:pPr>
      <w:r>
        <w:rPr>
          <w:b w:val="0"/>
          <w:i w:val="0"/>
          <w:color w:val="646B82"/>
          <w:sz w:val="20"/>
        </w:rPr>
        <w:t xml:space="preserve">Výmena údajov   </w:t>
      </w:r>
      <w:hyperlink r:id="rId16">
        <w:r>
          <w:rPr>
            <w:color w:val="2F3F9E"/>
            <w:u w:val="single"/>
            <w:sz w:val="17.0"/>
          </w:rPr>
          <w:t>mims.oascities.org/exchanging-data</w:t>
        </w:r>
      </w:hyperlink>
    </w:p>
    <w:p>
      <w:pPr>
        <w:spacing w:before="120" w:after="200"/>
      </w:pPr>
      <w:r>
        <w:rPr>
          <w:b w:val="0"/>
          <w:i w:val="0"/>
          <w:sz w:val="20"/>
        </w:rPr>
        <w:t>Nie všetky mestské údaje možno jednoducho zverejniť. Niektoré sú komerčné, iné citlivé. MIM3 je o tom, ako aj tak zdieľať bezpečne: katalóg, v ktorom sa dá hľadať, licencie zo šablón namiesto právneho textu na mieru a pravidlá, ktoré si každý môže prečítať. Špecifikácia formuluje takmer celý MIM3 ako odporúčanie (pozri s. 3).</w:t>
      </w:r>
    </w:p>
    <w:p>
      <w:pPr>
        <w:spacing w:before="40" w:after="20"/>
      </w:pPr>
      <w:r>
        <w:rPr>
          <w:b/>
          <w:i w:val="0"/>
          <w:color w:val="2F3F9E"/>
          <w:sz w:val="22"/>
        </w:rPr>
        <w:t xml:space="preserve">☐  </w:t>
      </w:r>
      <w:r>
        <w:rPr>
          <w:b/>
          <w:i w:val="0"/>
          <w:color w:val="2F3F9E"/>
          <w:sz w:val="20"/>
        </w:rPr>
        <w:t xml:space="preserve">3.1  </w:t>
      </w:r>
      <w:r>
        <w:rPr>
          <w:b/>
          <w:i w:val="0"/>
          <w:sz w:val="20"/>
        </w:rPr>
        <w:t>Každý dataset, ktorý systém poskytuje, musí byť opísaný štandardnými metadátami (napr. DCAT-AP) v katalógu, aby ho ostatní vedeli vyhľadať.</w:t>
      </w:r>
    </w:p>
    <w:p>
      <w:pPr>
        <w:spacing w:before="40" w:after="140"/>
      </w:pPr>
      <w:r>
        <w:rPr>
          <w:b w:val="0"/>
          <w:i/>
          <w:color w:val="646B82"/>
          <w:sz w:val="18"/>
        </w:rPr>
        <w:t xml:space="preserve">Údaje, ktoré nikto nenájde, nikto nepoužije.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Podmienky a licencie použitia musia vychádzať zo zaužívaných šablón (otvorené licencie, štandardné zmluvy o zdieľaní údajov), nie z osobitného právneho textu pre každý dataset.</w:t>
      </w:r>
    </w:p>
    <w:p>
      <w:pPr>
        <w:spacing w:before="40" w:after="140"/>
      </w:pPr>
      <w:r>
        <w:rPr>
          <w:b w:val="0"/>
          <w:i/>
          <w:color w:val="646B82"/>
          <w:sz w:val="18"/>
        </w:rPr>
        <w:t xml:space="preserve">Šablóny šetria čas; právne oddelenie nemusí riešiť každý dataset zvlášť.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Verejný obstarávateľ musí mať možnosť sám určiť, kto má prístup ku ktorým údajom a za akých podmienok, a toto nastavenie meniť bez súčinnosti dodávateľa.</w:t>
      </w:r>
    </w:p>
    <w:p>
      <w:pPr>
        <w:spacing w:before="40" w:after="140"/>
      </w:pPr>
      <w:r>
        <w:rPr>
          <w:b w:val="0"/>
          <w:i/>
          <w:color w:val="646B82"/>
          <w:sz w:val="18"/>
        </w:rPr>
        <w:t xml:space="preserve">Správa údajov zostáva na úrade.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PREČO NA TOM ZÁLEŽÍ</w:t>
            </w:r>
          </w:p>
          <w:p>
            <w:pPr>
              <w:spacing w:before="20" w:after="60"/>
            </w:pPr>
            <w:r>
              <w:rPr>
                <w:b/>
                <w:i w:val="0"/>
                <w:color w:val="2F3F9E"/>
                <w:sz w:val="18"/>
              </w:rPr>
              <w:t xml:space="preserve">•  </w:t>
            </w:r>
            <w:r>
              <w:rPr>
                <w:b w:val="0"/>
                <w:i w:val="0"/>
                <w:sz w:val="18"/>
              </w:rPr>
              <w:t>Miestne firmy a výskumníci stavajú na mestských údajoch; hodnota ostáva v regióne.</w:t>
            </w:r>
          </w:p>
          <w:p>
            <w:pPr>
              <w:spacing w:before="20" w:after="60"/>
            </w:pPr>
            <w:r>
              <w:rPr>
                <w:b/>
                <w:i w:val="0"/>
                <w:color w:val="2F3F9E"/>
                <w:sz w:val="18"/>
              </w:rPr>
              <w:t xml:space="preserve">•  </w:t>
            </w:r>
            <w:r>
              <w:rPr>
                <w:b w:val="0"/>
                <w:i w:val="0"/>
                <w:sz w:val="18"/>
              </w:rPr>
              <w:t>Citlivé údaje sa zdieľajú presne s tými správnymi partnermi, nie so všetkými či s nikým.</w:t>
            </w:r>
          </w:p>
          <w:p>
            <w:pPr>
              <w:spacing w:before="20" w:after="60"/>
            </w:pPr>
            <w:r>
              <w:rPr>
                <w:b/>
                <w:i w:val="0"/>
                <w:color w:val="2F3F9E"/>
                <w:sz w:val="18"/>
              </w:rPr>
              <w:t xml:space="preserve">•  </w:t>
            </w:r>
            <w:r>
              <w:rPr>
                <w:b w:val="0"/>
                <w:i w:val="0"/>
                <w:sz w:val="18"/>
              </w:rPr>
              <w:t>Jeden súbor pravidiel nahradí množstvo jednotlivých zmlúv o zdieľaní údajov.</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Dodávateľ si nárokuje práva na údaje mesta (pozri klauzulu „Práva k údajom“).</w:t>
            </w:r>
          </w:p>
          <w:p>
            <w:pPr>
              <w:spacing w:before="20" w:after="60"/>
            </w:pPr>
            <w:r>
              <w:rPr>
                <w:b/>
                <w:i w:val="0"/>
                <w:color w:val="A02020"/>
                <w:sz w:val="18"/>
              </w:rPr>
              <w:t xml:space="preserve">•  </w:t>
            </w:r>
            <w:r>
              <w:rPr>
                <w:b w:val="0"/>
                <w:i w:val="0"/>
                <w:sz w:val="18"/>
              </w:rPr>
              <w:t>Zdieľanie s treťou stranou vyžaduje súhlas alebo poplatok dodávateľovi.</w:t>
            </w:r>
          </w:p>
        </w:tc>
      </w:tr>
    </w:tbl>
    <w:p>
      <w:pPr>
        <w:spacing w:before="280" w:after="40"/>
      </w:pPr>
      <w:r>
        <w:rPr>
          <w:b/>
          <w:i w:val="0"/>
          <w:color w:val="2F3F9E"/>
          <w:sz w:val="26"/>
        </w:rPr>
        <w:t>Čo hovorí špecifikácia</w:t>
      </w:r>
    </w:p>
    <w:p>
      <w:pPr>
        <w:spacing w:before="40" w:after="120"/>
      </w:pPr>
      <w:r>
        <w:rPr>
          <w:b w:val="0"/>
          <w:i w:val="0"/>
          <w:color w:val="646B82"/>
          <w:sz w:val="18"/>
        </w:rPr>
        <w:t>Všetky požiadavky tohto MIM zo špecifikácie MIMs Plus 9.0. Špecifikácia existuje len po anglicky: slovenské znenie je neoficiálny preklad autora brožúry, záväzný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Je možné definovať pravidlá správy ekosystému zdieľania údajov</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Orchestrátor dátového ekosystému má mať možnosť definovať model správy (napr. súbor pravidiel), ktorý určuje pravidlá členstva, roly, zodpovednosti a povinnosti účastníkov ekosystému a celkové princípy výmeny údajov medzi nimi.</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Členovia, ktorí sa zúčastňujú na dátovom ekosystéme, majú poznať jeho model správy a všetky jeho zmeny.</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Model správy má byť ľahko zrozumiteľný pre všetkých účastníkov ekosystému.</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Je možné definovať podmienky zdieľania údajov</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Poskytovatelia údajov môžu slobodne určiť podmienky, za ktorých chcú svoje údaje vymieňať. (Poznámka: Pred zdieľaním dátových aktív si majú poskytovatelia overiť, že majú primerané povolenie od vlastníkov údajov.)</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Podmienky výmeny údajov majú byť opísané jasne a jednoznačne, aby boli pre používateľov údajov ľahko zrozumiteľné.</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Podmienky výmeny údajov majú byť vyjadrené prostredníctvom dátových licencií alebo zmlúv o zdieľaní údajov založených na dobre definovaných šablónach alebo štandardoch.</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Podmienky majú byť v súlade s celkovým modelom správy dátového ekosystému a nesmú mu odporovať. (Poznámka: Poskytovateľ údajov sa môže rozhodnúť, že sa na dátovom ekosystéme nezúčastní, ak je jeho model správy príliš reštriktívny alebo príliš benevolentný.)</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Je možné overiť dodržiavanie podmienok zdieľania údajov</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Orchestrátor dátového ekosystému musí byť schopný overiť, či účastníci dodržiavajú príslušný model správy.</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Poskytovatelia údajov majú mať možnosť overiť, že používateľ údajov ich používa v súlade s vopred dohodnutými podmienkami.</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Používatelia údajov majú mať možnosť overiť, že poskytovateľ dodáva údaje v súlade s vopred dohodnutými podmienkami.</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Dostupné dátové aktíva je možné vyhľadať</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Používatelia údajov majú mať možnosť zistiť, aké údaje sú v ekosystéme zdieľania dostupné, aj bez predchádzajúcej znalosti o nich.</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Dátové aktíva majú byť primerane opísané metadátami, aby sa používatelia údajov mohli spoľahlivo rozhodnúť o ich ďalšom zamýšľanom použití.</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Metadáta opisujúce dátové aktíva majú vychádzať z dobre definovaných, ľahko zrozumiteľných formátov čitateľných pre ľudí aj stroje.</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Účastníkov ekosystému je možné vyhľadať</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Účastníci ekosystému (napr. používatelia a poskytovatelia údajov) majú mať možnosť navzájom sa v ekosystéme zdieľania údajov vyhľadať.</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O každom účastníkovi ekosystému majú byť dostupné dostatočné metadáta na posúdenie jeho dôveryhodnosti pre výmenu údajov.</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Poskytovatelia údajov majú mať možnosť spoľahlivo identifikovať používateľov, ktorí chcú pristupovať k ich dátovým aktívam, a pred udelením prístupu overiť ich metadáta.</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Používatelia údajov majú mať možnosť identifikovať poskytovateľov, ktorí v dátovom ekosystéme zdieľajú údaje, skôr než k týmto údajom pristúpia alebo ich použijú.</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Účastníci ekosystému sa môžu rozhodnúť zostať anonymní, ak to model správy ekosystému zdieľania údajov umožňuje. V takom prípade možno požiadavky RC5.1 až RC5.4 vynechať.</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Výmenu údajov je možné dohodnúť</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Používatelia a poskytovatelia údajov majú mať možnosť dohodnúť sa na výmene údajov a na podmienkach, ktoré sa k nej viažu (napr. prijatím podmienok, právne záväzným podpisom zmluvy alebo rokovaním).</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Používatelia a poskytovatelia údajov majú mať možnosť ukončiť vopred dohodnutú výmenu údajov v súlade s podmienkami, ktoré sa k nej viažu.</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Ak je to možné, na dohodnutie a ukončenie výmeny údajov môžu byť poskytnuté elektronické prostriedky.</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Je možné požiadať o nové údaje, ktoré zatiaľ nie sú dostupné</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Používatelia údajov majú mať možnosť vyjadriť záujem o dátové aktíva, ktoré v ekosystéme zdieľania údajov zatiaľ nie sú dostupné.</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Poskytovatelia údajov majú mať možnosť prijímať žiadosti používateľov o nové dátové aktíva.</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Celé znenie špecifikácie: </w:t>
      </w:r>
      <w:hyperlink r:id="rId16">
        <w:r>
          <w:rPr>
            <w:color w:val="2F3F9E"/>
            <w:u w:val="single"/>
            <w:sz w:val="18"/>
          </w:rPr>
          <w:t>https://mims.oascities.org/exchanging-data</w:t>
        </w:r>
      </w:hyperlink>
    </w:p>
    <w:p>
      <w:r>
        <w:br w:type="page"/>
      </w:r>
    </w:p>
    <w:p>
      <w:pPr>
        <w:spacing w:before="120" w:after="40"/>
      </w:pPr>
      <w:r>
        <w:rPr>
          <w:b/>
          <w:i w:val="0"/>
          <w:color w:val="2F3F9E"/>
          <w:sz w:val="36"/>
        </w:rPr>
        <w:t>MIM6 · Sú naše údaje v bezpečí?</w:t>
      </w:r>
    </w:p>
    <w:p>
      <w:pPr>
        <w:spacing w:before="40" w:after="40"/>
      </w:pPr>
      <w:r>
        <w:rPr>
          <w:b w:val="0"/>
          <w:i w:val="0"/>
          <w:color w:val="646B82"/>
          <w:sz w:val="20"/>
        </w:rPr>
        <w:t xml:space="preserve">Zabezpečenie údajov   </w:t>
      </w:r>
      <w:hyperlink r:id="rId17">
        <w:r>
          <w:rPr>
            <w:color w:val="2F3F9E"/>
            <w:u w:val="single"/>
            <w:sz w:val="17.0"/>
          </w:rPr>
          <w:t>mims.oascities.org/securing-data</w:t>
        </w:r>
      </w:hyperlink>
    </w:p>
    <w:p>
      <w:pPr>
        <w:spacing w:before="120" w:after="200"/>
      </w:pPr>
      <w:r>
        <w:rPr>
          <w:b w:val="0"/>
          <w:i w:val="0"/>
          <w:sz w:val="20"/>
        </w:rPr>
        <w:t>Inteligentné mestá sú terčom útokov. MIM6 drží rozsah zámerne úzky a praktický: šifrovať údaje pri prenose, používať štandardné prihlasovanie namiesto proprietárneho, riadiť a zaznamenávať, kto k čomu pristupuje. Nič z toho nie je exotika. Všetko z toho musí byť v zmluve.</w:t>
      </w:r>
    </w:p>
    <w:p>
      <w:pPr>
        <w:spacing w:before="40" w:after="20"/>
      </w:pPr>
      <w:r>
        <w:rPr>
          <w:b/>
          <w:i w:val="0"/>
          <w:color w:val="2F3F9E"/>
          <w:sz w:val="22"/>
        </w:rPr>
        <w:t xml:space="preserve">☐  </w:t>
      </w:r>
      <w:r>
        <w:rPr>
          <w:b/>
          <w:i w:val="0"/>
          <w:color w:val="2F3F9E"/>
          <w:sz w:val="20"/>
        </w:rPr>
        <w:t xml:space="preserve">6.1  </w:t>
      </w:r>
      <w:r>
        <w:rPr>
          <w:b/>
          <w:i w:val="0"/>
          <w:sz w:val="20"/>
        </w:rPr>
        <w:t>Všetok prenos údajov musí byť šifrovaný (TLS 1.3, resp. aktuálne osvedčené postupy).</w:t>
      </w:r>
    </w:p>
    <w:p>
      <w:pPr>
        <w:spacing w:before="40" w:after="140"/>
      </w:pPr>
      <w:r>
        <w:rPr>
          <w:b w:val="0"/>
          <w:i/>
          <w:color w:val="646B82"/>
          <w:sz w:val="18"/>
        </w:rPr>
        <w:t xml:space="preserve">Základná hygiena; vyžaduje ju aj smernica NIS2 tam, kde sa na vás vzťahuje.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Prihlasovanie osôb aj systémov musí používať otvorené štandardy OAuth 2.0 / OpenID Connect a musí sa dať napojiť na existujúcu správu identít mesta.</w:t>
      </w:r>
    </w:p>
    <w:p>
      <w:pPr>
        <w:spacing w:before="40" w:after="140"/>
      </w:pPr>
      <w:r>
        <w:rPr>
          <w:b w:val="0"/>
          <w:i/>
          <w:color w:val="646B82"/>
          <w:sz w:val="18"/>
        </w:rPr>
        <w:t xml:space="preserve">Jeden účet na zamestnanca, nie jeden na každý produkt dodávateľa; pri odchode stráca prístup všade naraz.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Prístupové práva musia byť rolové, kontrolovateľné a odoberateľné; prístupy aj zásahy administrátorov sa musia zaznamenávať (logovať).</w:t>
      </w:r>
    </w:p>
    <w:p>
      <w:pPr>
        <w:spacing w:before="40" w:after="140"/>
      </w:pPr>
      <w:r>
        <w:rPr>
          <w:b w:val="0"/>
          <w:i/>
          <w:color w:val="646B82"/>
          <w:sz w:val="18"/>
        </w:rPr>
        <w:t xml:space="preserve">Audit a riešenie incidentov sú možné. Logovanie je ISO/IEC 27001:2022, príloha A, opatrenie 8.15, ktoré MIM6 uvádza medzi svojimi predpokladmi.   </w:t>
      </w:r>
      <w:r>
        <w:rPr>
          <w:b w:val="0"/>
          <w:i w:val="0"/>
          <w:color w:val="0B7485"/>
          <w:sz w:val="16"/>
        </w:rPr>
        <w:t>→ MIM6 R1.1, R1.3, 8.15</w:t>
      </w:r>
    </w:p>
    <w:p>
      <w:pPr>
        <w:spacing w:before="40" w:after="0"/>
      </w:pPr>
      <w:r>
        <w:rPr>
          <w:b/>
          <w:i w:val="0"/>
          <w:color w:val="0B7485"/>
          <w:sz w:val="16"/>
        </w:rPr>
        <w:t>PATRÍ DO PODMIENOK ÚČASTI, NIE DO OPISU PREDMETU ZÁKAZKY</w:t>
      </w:r>
    </w:p>
    <w:p>
      <w:pPr>
        <w:spacing w:before="40" w:after="20"/>
      </w:pPr>
      <w:r>
        <w:rPr>
          <w:b/>
          <w:i w:val="0"/>
          <w:color w:val="2F3F9E"/>
          <w:sz w:val="22"/>
        </w:rPr>
        <w:t xml:space="preserve">☐  </w:t>
      </w:r>
      <w:r>
        <w:rPr>
          <w:b/>
          <w:i w:val="0"/>
          <w:color w:val="2F3F9E"/>
          <w:sz w:val="20"/>
        </w:rPr>
        <w:t xml:space="preserve">6.4  </w:t>
      </w:r>
      <w:r>
        <w:rPr>
          <w:b/>
          <w:i w:val="0"/>
          <w:sz w:val="20"/>
        </w:rPr>
        <w:t>Uchádzač preukáže súlad s ISO/IEC 27001:2022 (alebo ekvivalentom) pre prevádzkovanú službu.</w:t>
      </w:r>
    </w:p>
    <w:p>
      <w:pPr>
        <w:spacing w:before="40" w:after="140"/>
      </w:pPr>
      <w:r>
        <w:rPr>
          <w:b w:val="0"/>
          <w:i/>
          <w:color w:val="646B82"/>
          <w:sz w:val="18"/>
        </w:rPr>
        <w:t xml:space="preserve">Bezpečnosť je proces, nie položka odškrtnutá pri prevzatí. Špecifikácia cituje opatrenia ISO/IEC 27001, nie certifikát.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PREČO NA TOM ZÁLEŽÍ</w:t>
            </w:r>
          </w:p>
          <w:p>
            <w:pPr>
              <w:spacing w:before="20" w:after="60"/>
            </w:pPr>
            <w:r>
              <w:rPr>
                <w:b/>
                <w:i w:val="0"/>
                <w:color w:val="2F3F9E"/>
                <w:sz w:val="18"/>
              </w:rPr>
              <w:t xml:space="preserve">•  </w:t>
            </w:r>
            <w:r>
              <w:rPr>
                <w:b w:val="0"/>
                <w:i w:val="0"/>
                <w:sz w:val="18"/>
              </w:rPr>
              <w:t>Prienik do jedného systému neotvorí všetky ostatné.</w:t>
            </w:r>
          </w:p>
          <w:p>
            <w:pPr>
              <w:spacing w:before="20" w:after="60"/>
            </w:pPr>
            <w:r>
              <w:rPr>
                <w:b/>
                <w:i w:val="0"/>
                <w:color w:val="2F3F9E"/>
                <w:sz w:val="18"/>
              </w:rPr>
              <w:t xml:space="preserve">•  </w:t>
            </w:r>
            <w:r>
              <w:rPr>
                <w:b w:val="0"/>
                <w:i w:val="0"/>
                <w:sz w:val="18"/>
              </w:rPr>
              <w:t>Tam, kde sa na vás NIS2 vzťahuje, je súlad s ňou a s národnou legislatívou o kybernetickej bezpečnosti merateľne ľahší.</w:t>
            </w:r>
          </w:p>
          <w:p>
            <w:pPr>
              <w:spacing w:before="20" w:after="60"/>
            </w:pPr>
            <w:r>
              <w:rPr>
                <w:b/>
                <w:i w:val="0"/>
                <w:color w:val="2F3F9E"/>
                <w:sz w:val="18"/>
              </w:rPr>
              <w:t xml:space="preserve">•  </w:t>
            </w:r>
            <w:r>
              <w:rPr>
                <w:b w:val="0"/>
                <w:i w:val="0"/>
                <w:sz w:val="18"/>
              </w:rPr>
              <w:t>Pri incidente záznamy umožnia zistiť, čo sa stalo a kto konal.</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Len proprietárne prihlasovanie.</w:t>
            </w:r>
          </w:p>
          <w:p>
            <w:pPr>
              <w:spacing w:before="20" w:after="60"/>
            </w:pPr>
            <w:r>
              <w:rPr>
                <w:b/>
                <w:i w:val="0"/>
                <w:color w:val="A02020"/>
                <w:sz w:val="18"/>
              </w:rPr>
              <w:t xml:space="preserve">•  </w:t>
            </w:r>
            <w:r>
              <w:rPr>
                <w:b w:val="0"/>
                <w:i w:val="0"/>
                <w:sz w:val="18"/>
              </w:rPr>
              <w:t>„Logy na vyžiadanie.“</w:t>
            </w:r>
          </w:p>
          <w:p>
            <w:pPr>
              <w:spacing w:before="20" w:after="60"/>
            </w:pPr>
            <w:r>
              <w:rPr>
                <w:b/>
                <w:i w:val="0"/>
                <w:color w:val="A02020"/>
                <w:sz w:val="18"/>
              </w:rPr>
              <w:t xml:space="preserve">•  </w:t>
            </w:r>
            <w:r>
              <w:rPr>
                <w:b w:val="0"/>
                <w:i w:val="0"/>
                <w:sz w:val="18"/>
              </w:rPr>
              <w:t>Zdieľané administrátorské účty.</w:t>
            </w:r>
          </w:p>
        </w:tc>
      </w:tr>
    </w:tbl>
    <w:p>
      <w:pPr>
        <w:spacing w:before="280" w:after="40"/>
      </w:pPr>
      <w:r>
        <w:rPr>
          <w:b/>
          <w:i w:val="0"/>
          <w:color w:val="2F3F9E"/>
          <w:sz w:val="26"/>
        </w:rPr>
        <w:t>Čo hovorí špecifikácia</w:t>
      </w:r>
    </w:p>
    <w:p>
      <w:pPr>
        <w:spacing w:before="40" w:after="120"/>
      </w:pPr>
      <w:r>
        <w:rPr>
          <w:b w:val="0"/>
          <w:i w:val="0"/>
          <w:color w:val="646B82"/>
          <w:sz w:val="18"/>
        </w:rPr>
        <w:t>Všetky požiadavky tohto MIM zo špecifikácie MIMs Plus 9.0. Špecifikácia existuje len po anglicky: slovenské znenie je neoficiálny preklad autora brožúry, záväzný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Údaje sú prístupné len používateľom, ktorí k nim majú mať prístup</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Pravidlá riadenia fyzického a logického prístupu k informáciám a iným súvisiacim aktívam MUSIA byť stanovené a zavedené na základe požiadaviek organizácie a požiadaviek informačnej bezpečnosti. (ISO 27001 5.15 Riadenie prístupu)</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Prideľovanie a správa autentifikačných informácií MUSIA byť riadené procesom správy vrátane poučenia pracovníkov o správnom zaobchádzaní s autentifikačnými informáciami. (ISO 27001 5.17: Autentifikačné informácie)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Prístupové práva k informáciám a iným súvisiacim aktívam MUSIA byť prideľované, preskúmavané, upravované a odoberané v súlade s tematickou politikou organizácie a pravidlami riadenia prístupu. (ISO 27001 5.18: Prístupové práva)</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Údaje, ku ktorým používatelia pristupujú, neboli pozmenené</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Pravidlá účinného používania kryptografie vrátane správy kryptografických kľúčov MUSIA byť definované a zavedené. (ISO 27001 8.24 Používanie kryptografie)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Údaje, ku ktorým používatelia pristupujú, pochádzajú z overeného zdroja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Technológie a postupy bezpečnej autentifikácie musia byť zavedené na základe obmedzení prístupu k informáciám a tematickej politiky riadenia prístupu. (ISO 27001 8.5 Bezpečná autentifikácia)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Kandidátske mechanizmy</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Protokol Transport Layer Security (TLS), verzia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Autorizačný rámec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vrstva identity pre autentifikáciu nad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na vydávanie a predkladanie overiteľných poverení.</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Predpoklady a nadväzujúce požiadavky (podľa prílohy A normy ISO 27001): opatrenie, na ktoré sa brožúra odvoláva</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Logovanie. Záznamy (logy) o činnostiach, výnimkách, chybách a iných relevantných udalostiach musia byť vytvárané, uchovávané, chránené a analyzované.</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Celé znenie špecifikácie: </w:t>
      </w:r>
      <w:hyperlink r:id="rId17">
        <w:r>
          <w:rPr>
            <w:color w:val="2F3F9E"/>
            <w:u w:val="single"/>
            <w:sz w:val="18"/>
          </w:rPr>
          <w:t>https://mims.oascities.org/securing-data</w:t>
        </w:r>
      </w:hyperlink>
    </w:p>
    <w:p>
      <w:r>
        <w:br w:type="page"/>
      </w:r>
    </w:p>
    <w:p>
      <w:pPr>
        <w:spacing w:before="120" w:after="40"/>
      </w:pPr>
      <w:r>
        <w:rPr>
          <w:b/>
          <w:i w:val="0"/>
          <w:color w:val="2F3F9E"/>
          <w:sz w:val="36"/>
        </w:rPr>
        <w:t>MIM7 · Funguje to na mape?</w:t>
      </w:r>
    </w:p>
    <w:p>
      <w:pPr>
        <w:spacing w:before="40" w:after="40"/>
      </w:pPr>
      <w:r>
        <w:rPr>
          <w:b w:val="0"/>
          <w:i w:val="0"/>
          <w:color w:val="646B82"/>
          <w:sz w:val="20"/>
        </w:rPr>
        <w:t xml:space="preserve">Geopriestorové údaje   </w:t>
      </w:r>
      <w:hyperlink r:id="rId18">
        <w:r>
          <w:rPr>
            <w:color w:val="2F3F9E"/>
            <w:u w:val="single"/>
            <w:sz w:val="17.0"/>
          </w:rPr>
          <w:t>mims.oascities.org/geospatial-data</w:t>
        </w:r>
      </w:hyperlink>
    </w:p>
    <w:p>
      <w:pPr>
        <w:spacing w:before="120" w:after="200"/>
      </w:pPr>
      <w:r>
        <w:rPr>
          <w:b w:val="0"/>
          <w:i w:val="0"/>
          <w:sz w:val="20"/>
        </w:rPr>
        <w:t>Takmer všetko, čo mesto vlastní, má svoje miesto. MIM7 zabezpečí, že to miesto nie je len obrázok: priestorové údaje tečú cez štandardné rozhrania OGC, v otvorených formátoch, so vždy uvedeným súradnicovým systémom. Každá obstaraná mapová vrstva je potom zlučiteľná s tými, ktoré už máte.</w:t>
      </w:r>
    </w:p>
    <w:p>
      <w:pPr>
        <w:spacing w:before="40" w:after="20"/>
      </w:pPr>
      <w:r>
        <w:rPr>
          <w:b/>
          <w:i w:val="0"/>
          <w:color w:val="2F3F9E"/>
          <w:sz w:val="22"/>
        </w:rPr>
        <w:t xml:space="preserve">☐  </w:t>
      </w:r>
      <w:r>
        <w:rPr>
          <w:b/>
          <w:i w:val="0"/>
          <w:color w:val="2F3F9E"/>
          <w:sz w:val="20"/>
        </w:rPr>
        <w:t xml:space="preserve">7.1  </w:t>
      </w:r>
      <w:r>
        <w:rPr>
          <w:b/>
          <w:i w:val="0"/>
          <w:sz w:val="20"/>
        </w:rPr>
        <w:t>Geopriestorové údaje musia byť dostupné cez štandardné rozhrania (OGC API Features, OGC SensorThings; WFS pri starších systémoch).</w:t>
      </w:r>
    </w:p>
    <w:p>
      <w:pPr>
        <w:spacing w:before="40" w:after="140"/>
      </w:pPr>
      <w:r>
        <w:rPr>
          <w:b w:val="0"/>
          <w:i/>
          <w:color w:val="646B82"/>
          <w:sz w:val="18"/>
        </w:rPr>
        <w:t xml:space="preserve">Prečíta ich každý GIS nástroj na trhu.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Geopriestorové údaje musia byť v otvorených formátoch (GeoJSON, CityJSON; GML/CityGML tam, kde to vyžadujú predpisy).</w:t>
      </w:r>
    </w:p>
    <w:p>
      <w:pPr>
        <w:spacing w:before="40" w:after="140"/>
      </w:pPr>
      <w:r>
        <w:rPr>
          <w:b w:val="0"/>
          <w:i/>
          <w:color w:val="646B82"/>
          <w:sz w:val="18"/>
        </w:rPr>
        <w:t xml:space="preserve">Žiadne licencie na konvertory, žiadne slepé uličky.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Súradnicový systém musí byť vždy uvedený (kód EPSG) a údaje musí byť možné transformovať do spoločného súradnicového systému.</w:t>
      </w:r>
    </w:p>
    <w:p>
      <w:pPr>
        <w:spacing w:before="40" w:after="140"/>
      </w:pPr>
      <w:r>
        <w:rPr>
          <w:b w:val="0"/>
          <w:i/>
          <w:color w:val="646B82"/>
          <w:sz w:val="18"/>
        </w:rPr>
        <w:t xml:space="preserve">Vrstvy z rôznych zdrojov sa na mape správne prekrývajú.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Priestorové objekty musia niesť tie isté trvalé identifikátory ako v MIM1.</w:t>
      </w:r>
    </w:p>
    <w:p>
      <w:pPr>
        <w:spacing w:before="40" w:after="140"/>
      </w:pPr>
      <w:r>
        <w:rPr>
          <w:b w:val="0"/>
          <w:i/>
          <w:color w:val="646B82"/>
          <w:sz w:val="18"/>
        </w:rPr>
        <w:t xml:space="preserve">Bod na mape a záznam v evidencii sú tá istá vec.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PREČO NA TOM ZÁLEŽÍ</w:t>
            </w:r>
          </w:p>
          <w:p>
            <w:pPr>
              <w:spacing w:before="20" w:after="60"/>
            </w:pPr>
            <w:r>
              <w:rPr>
                <w:b/>
                <w:i w:val="0"/>
                <w:color w:val="2F3F9E"/>
                <w:sz w:val="18"/>
              </w:rPr>
              <w:t xml:space="preserve">•  </w:t>
            </w:r>
            <w:r>
              <w:rPr>
                <w:b w:val="0"/>
                <w:i w:val="0"/>
                <w:sz w:val="18"/>
              </w:rPr>
              <w:t>Jedna mestská mapa namiesto desiatich prehliadačov od dodávateľov.</w:t>
            </w:r>
          </w:p>
          <w:p>
            <w:pPr>
              <w:spacing w:before="20" w:after="60"/>
            </w:pPr>
            <w:r>
              <w:rPr>
                <w:b/>
                <w:i w:val="0"/>
                <w:color w:val="2F3F9E"/>
                <w:sz w:val="18"/>
              </w:rPr>
              <w:t xml:space="preserve">•  </w:t>
            </w:r>
            <w:r>
              <w:rPr>
                <w:b w:val="0"/>
                <w:i w:val="0"/>
                <w:sz w:val="18"/>
              </w:rPr>
              <w:t>Povinnosti podľa smernice INSPIRE a zverejňovanie na národnom geoportáli sú ľahšie, nie ťažšie.</w:t>
            </w:r>
          </w:p>
          <w:p>
            <w:pPr>
              <w:spacing w:before="20" w:after="60"/>
            </w:pPr>
            <w:r>
              <w:rPr>
                <w:b/>
                <w:i w:val="0"/>
                <w:color w:val="2F3F9E"/>
                <w:sz w:val="18"/>
              </w:rPr>
              <w:t xml:space="preserve">•  </w:t>
            </w:r>
            <w:r>
              <w:rPr>
                <w:b w:val="0"/>
                <w:i w:val="0"/>
                <w:sz w:val="18"/>
              </w:rPr>
              <w:t>3D a BIM údaje sa neskôr pridajú do toho istého obrazu.</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Mapové údaje len v prehliadači dodávateľa.</w:t>
            </w:r>
          </w:p>
          <w:p>
            <w:pPr>
              <w:spacing w:before="20" w:after="60"/>
            </w:pPr>
            <w:r>
              <w:rPr>
                <w:b/>
                <w:i w:val="0"/>
                <w:color w:val="A02020"/>
                <w:sz w:val="18"/>
              </w:rPr>
              <w:t xml:space="preserve">•  </w:t>
            </w:r>
            <w:r>
              <w:rPr>
                <w:b w:val="0"/>
                <w:i w:val="0"/>
                <w:sz w:val="18"/>
              </w:rPr>
              <w:t>„Export ako PDF alebo snímka obrazovky.“</w:t>
            </w:r>
          </w:p>
        </w:tc>
      </w:tr>
    </w:tbl>
    <w:p>
      <w:pPr>
        <w:spacing w:before="280" w:after="40"/>
      </w:pPr>
      <w:r>
        <w:rPr>
          <w:b/>
          <w:i w:val="0"/>
          <w:color w:val="2F3F9E"/>
          <w:sz w:val="26"/>
        </w:rPr>
        <w:t>Čo hovorí špecifikácia</w:t>
      </w:r>
    </w:p>
    <w:p>
      <w:pPr>
        <w:spacing w:before="40" w:after="120"/>
      </w:pPr>
      <w:r>
        <w:rPr>
          <w:b w:val="0"/>
          <w:i w:val="0"/>
          <w:color w:val="646B82"/>
          <w:sz w:val="18"/>
        </w:rPr>
        <w:t>Všetky požiadavky tohto MIM zo špecifikácie MIMs Plus 9.0. Špecifikácia existuje len po anglicky: slovenské znenie je neoficiálny preklad autora brožúry, záväzný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Mestá a komunity vedia ľahko prenášať geopriestorové údaje medzi internými a externými IT systémami (vrátane 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Geopriestorové údaje musia byť sprístupnené cez webové rozhranie založené na štandardoch.</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Mestá a komunity vedia integrovať 2D a 3D geopriestorové údaje z rôznych zdrojov, napríklad geodáta a informačné modely budov, a interoperabilne ich zdieľať vo vnútri aj medzi sebou</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Geopriestorové údaje musia byť kódované v otvorených štandardoch. Odporúča sa použiť príslušné štandardy OGC a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Mestá a komunity vedia prepojiť geopriestorové údaje s ďalšími údajmi, ktoré dopĺňajú informácie o kontexte</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Všetky datasety, ktoré dopĺňajú informácie o kontexte pokrytom geopriestorovými údajmi, musia byť v súlade s MIM1 a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Mestá a komunity majú konzistentný a trvalý spôsob označovania jednotlivých inštancií všetkých prvkov, vecí a entít v zdrojoch geopriestorových údajov</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Na identifikáciu konkrétnych inštancií akejkoľvek entity v datasetoch sa musia používať jedinečné a trvalé identifikátory. (Pozri MIM1: Prepojenie údajov.)</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Súradnicové referenčné systémy (CRS) použité pri zdieľaní údajov sú ľahko transformovateľné do spoločného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Súradnicové referenčné systémy (CRS) musia byť v súlade so štandardmi a musí byť uvedené, ktorý štandard (napr. EPSG:4326, EPSG:3857) sa používa. Patrí sem číslo EPSG alebo WGS spolu s informáciou o prípadných odchýlkach vychádzajúcich z národných systémov, ako je lotyšský LKS-92, aby bolo možné údaje transformovať do spoločného CRS. (Poznámka: V EÚ sa pre geopriestorové údaje vyžadujú metadáta v súlade so smernicou INSPIRE vrátane metadát potrebných na opis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Celé znenie špecifikácie: </w:t>
      </w:r>
      <w:hyperlink r:id="rId18">
        <w:r>
          <w:rPr>
            <w:color w:val="2F3F9E"/>
            <w:u w:val="single"/>
            <w:sz w:val="18"/>
          </w:rPr>
          <w:t>https://mims.oascities.org/geospatial-data</w:t>
        </w:r>
      </w:hyperlink>
    </w:p>
    <w:p>
      <w:r>
        <w:br w:type="page"/>
      </w:r>
    </w:p>
    <w:p>
      <w:pPr>
        <w:spacing w:before="120" w:after="40"/>
      </w:pPr>
      <w:r>
        <w:rPr>
          <w:b/>
          <w:i w:val="0"/>
          <w:color w:val="2F3F9E"/>
          <w:sz w:val="36"/>
        </w:rPr>
        <w:t>MIM8 · Môže naše dvojča rásť?</w:t>
      </w:r>
    </w:p>
    <w:p>
      <w:pPr>
        <w:spacing w:before="40" w:after="40"/>
      </w:pPr>
      <w:r>
        <w:rPr>
          <w:b w:val="0"/>
          <w:i w:val="0"/>
          <w:color w:val="646B82"/>
          <w:sz w:val="20"/>
        </w:rPr>
        <w:t xml:space="preserve">Lokálne digitálne dvojčatá   </w:t>
      </w:r>
      <w:hyperlink r:id="rId19">
        <w:r>
          <w:rPr>
            <w:color w:val="2F3F9E"/>
            <w:u w:val="single"/>
            <w:sz w:val="17.0"/>
          </w:rPr>
          <w:t>mims.oascities.org/local-digital-twins</w:t>
        </w:r>
      </w:hyperlink>
    </w:p>
    <w:p>
      <w:pPr>
        <w:spacing w:before="120" w:after="200"/>
      </w:pPr>
      <w:r>
        <w:rPr>
          <w:b w:val="0"/>
          <w:i w:val="0"/>
          <w:sz w:val="20"/>
        </w:rPr>
        <w:t>Digitálne dvojča je dlhodobá investícia: údaje, 3D modely, simulácie, rozhodnutia. MIM8 túto investíciu chráni. Údaje a modely dvojčaťa zostávajú prístupné a zdokumentované, výsledky sa dajú zopakovať a komponenty z jedného projektu poslúžia ďalšiemu. Túto stranu použite pri nákupe platforiem dvojčiat, simulačných modelov či 3D nástrojov.</w:t>
      </w:r>
    </w:p>
    <w:p>
      <w:pPr>
        <w:spacing w:before="40" w:after="20"/>
      </w:pPr>
      <w:r>
        <w:rPr>
          <w:b/>
          <w:i w:val="0"/>
          <w:color w:val="2F3F9E"/>
          <w:sz w:val="22"/>
        </w:rPr>
        <w:t xml:space="preserve">☐  </w:t>
      </w:r>
      <w:r>
        <w:rPr>
          <w:b/>
          <w:i w:val="0"/>
          <w:color w:val="2F3F9E"/>
          <w:sz w:val="20"/>
        </w:rPr>
        <w:t xml:space="preserve">8.1  </w:t>
      </w:r>
      <w:r>
        <w:rPr>
          <w:b/>
          <w:i w:val="0"/>
          <w:sz w:val="20"/>
        </w:rPr>
        <w:t>Datasety, vstupy modelov aj výstupy simulácií musia byť dostupné cez API (podľa MIM0), nie uzavreté v platforme dvojčaťa.</w:t>
      </w:r>
    </w:p>
    <w:p>
      <w:pPr>
        <w:spacing w:before="40" w:after="140"/>
      </w:pPr>
      <w:r>
        <w:rPr>
          <w:b w:val="0"/>
          <w:i/>
          <w:color w:val="646B82"/>
          <w:sz w:val="18"/>
        </w:rPr>
        <w:t xml:space="preserve">Výsledky slúžia ako podklad pre správy a prehľady a využijú sa v ďalšom projekte.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Modely musia byť zdokumentované (metóda, parametre, vstupy a výstupy) a volateľné cez zdokumentované rozhranie.</w:t>
      </w:r>
    </w:p>
    <w:p>
      <w:pPr>
        <w:spacing w:before="40" w:after="140"/>
      </w:pPr>
      <w:r>
        <w:rPr>
          <w:b w:val="0"/>
          <w:i/>
          <w:color w:val="646B82"/>
          <w:sz w:val="18"/>
        </w:rPr>
        <w:t xml:space="preserve">Raz obstaraný povodňový model použijú viaceré odbory aj iné mestá.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Výstupy musia byť v štandardných formátoch (GeoJSON, CityJSON, 3D Tiles, NetCDF…), čitateľných aj nástrojmi iných dodávateľov.</w:t>
      </w:r>
    </w:p>
    <w:p>
      <w:pPr>
        <w:spacing w:before="40" w:after="140"/>
      </w:pPr>
      <w:r>
        <w:rPr>
          <w:b w:val="0"/>
          <w:i/>
          <w:color w:val="646B82"/>
          <w:sz w:val="18"/>
        </w:rPr>
        <w:t xml:space="preserve">Trh s vizualizačnými a analytickými nástrojmi tak zostáva otvorený hospodárskej súťaži.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Pracovné postupy musia zaznamenávať pôvod výsledkov: ktorá verzia údajov, ktorý model a ktoré parametre k nim viedli.</w:t>
      </w:r>
    </w:p>
    <w:p>
      <w:pPr>
        <w:spacing w:before="40" w:after="140"/>
      </w:pPr>
      <w:r>
        <w:rPr>
          <w:b w:val="0"/>
          <w:i/>
          <w:color w:val="646B82"/>
          <w:sz w:val="18"/>
        </w:rPr>
        <w:t xml:space="preserve">Rozhodnutia na základe dvojčaťa sa dajú neskôr vysvetliť a obhájiť.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PREČO NA TOM ZÁLEŽÍ</w:t>
            </w:r>
          </w:p>
          <w:p>
            <w:pPr>
              <w:spacing w:before="20" w:after="60"/>
            </w:pPr>
            <w:r>
              <w:rPr>
                <w:b/>
                <w:i w:val="0"/>
                <w:color w:val="2F3F9E"/>
                <w:sz w:val="18"/>
              </w:rPr>
              <w:t xml:space="preserve">•  </w:t>
            </w:r>
            <w:r>
              <w:rPr>
                <w:b w:val="0"/>
                <w:i w:val="0"/>
                <w:sz w:val="18"/>
              </w:rPr>
              <w:t>Dvojča prežije každého jednotlivého dodávateľa aj projektový rozpočet.</w:t>
            </w:r>
          </w:p>
          <w:p>
            <w:pPr>
              <w:spacing w:before="20" w:after="60"/>
            </w:pPr>
            <w:r>
              <w:rPr>
                <w:b/>
                <w:i w:val="0"/>
                <w:color w:val="2F3F9E"/>
                <w:sz w:val="18"/>
              </w:rPr>
              <w:t xml:space="preserve">•  </w:t>
            </w:r>
            <w:r>
              <w:rPr>
                <w:b w:val="0"/>
                <w:i w:val="0"/>
                <w:sz w:val="18"/>
              </w:rPr>
              <w:t>Simulácie sa dajú overiť, zopakovať a obhájiť v zastupiteľstve.</w:t>
            </w:r>
          </w:p>
          <w:p>
            <w:pPr>
              <w:spacing w:before="20" w:after="60"/>
            </w:pPr>
            <w:r>
              <w:rPr>
                <w:b/>
                <w:i w:val="0"/>
                <w:color w:val="2F3F9E"/>
                <w:sz w:val="18"/>
              </w:rPr>
              <w:t xml:space="preserve">•  </w:t>
            </w:r>
            <w:r>
              <w:rPr>
                <w:b w:val="0"/>
                <w:i w:val="0"/>
                <w:sz w:val="18"/>
              </w:rPr>
              <w:t>Modely a komponenty sa dajú zdieľať medzi mestami.</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Výsledky simulácií len v portáli dodávateľa.</w:t>
            </w:r>
          </w:p>
          <w:p>
            <w:pPr>
              <w:spacing w:before="20" w:after="60"/>
            </w:pPr>
            <w:r>
              <w:rPr>
                <w:b/>
                <w:i w:val="0"/>
                <w:color w:val="A02020"/>
                <w:sz w:val="18"/>
              </w:rPr>
              <w:t xml:space="preserve">•  </w:t>
            </w:r>
            <w:r>
              <w:rPr>
                <w:b w:val="0"/>
                <w:i w:val="0"/>
                <w:sz w:val="18"/>
              </w:rPr>
              <w:t>Modely ako zapečatené čierne skrinky bez metadát.</w:t>
            </w:r>
          </w:p>
        </w:tc>
      </w:tr>
    </w:tbl>
    <w:p>
      <w:pPr>
        <w:spacing w:before="280" w:after="40"/>
      </w:pPr>
      <w:r>
        <w:rPr>
          <w:b/>
          <w:i w:val="0"/>
          <w:color w:val="2F3F9E"/>
          <w:sz w:val="26"/>
        </w:rPr>
        <w:t>Čo hovorí špecifikácia</w:t>
      </w:r>
    </w:p>
    <w:p>
      <w:pPr>
        <w:spacing w:before="40" w:after="120"/>
      </w:pPr>
      <w:r>
        <w:rPr>
          <w:b w:val="0"/>
          <w:i w:val="0"/>
          <w:color w:val="646B82"/>
          <w:sz w:val="18"/>
        </w:rPr>
        <w:t>Všetky požiadavky tohto MIM zo špecifikácie MIMs Plus 9.0. Špecifikácia existuje len po anglicky: slovenské znenie je neoficiálny preklad autora brožúry, záväzný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Poskytnúť prístup k datasetom používaným v lokálnom digitálnom dvojčati (LDT) vrátane statických údajov, údajov v reálnom čase, simulačných údajov a výpočtových modelov</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musí sprístupniť výstupy simulácií a vstupy výpočtových modelov tam, kde sú potrebné v rámci pracovných postupov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má jasne rozlišovať medzi surovými zdrojovými údajmi, transformovanými údajmi pripravenými pre pracovné postupy, vstupmi modelov a výstupmi modelov.</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Vymieňať údaje s externými systémami a inými LDT cez interoperabilné rozhrania</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Táto schopnosť sa pri výmene údajov opiera o MIM3 (Výmena údajov).</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Opakovane používať deterministické modely alebo modely umelej inteligencie naprieč doménami, komunitami, prípadmi použitia a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 má poskytovať štandardné metadáta modelu vrátane opisu jeho metód a parametrov a dátových parametrov (hodnotou alebo odkazom). Na tento účel sa majú používať bežné štandardy metadát.</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 musí byť vystavený alebo volateľný cez zdokumentované rozhranie, prednostne cez známe štandardizované API. Dataset, ktorý je výstupom modelu, musí byť opísaný (na úrovni údajov).</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Má byť zabezpečené dôveryhodné, spoľahlivé a etické používanie inovatívnych metód (LLM, agentová AI a pod.). Skreslenie (bias) sa má tam, kde je to relevantné, minimalizovať. Metódy, ktorými sa to zaručuje, majú byť opísané.</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 musí byť schopný pristupovať k údajom v mene koncového používateľa alebo organizácie. Pozri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Pri údajoch určených pre modely AI má byť zaručený ich pôvod a dôveryhodnosť. V niektorých prípadoch musí byť uvedený autoritatívny zdroj, napríklad orgán verejnej správy.</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Koordinovať a riadiť údaje, modely a pracovné postupy spracovania v rámci LDT aj medzi viacerými 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podporuje pracovné postupy, ktoré prepájajú zdroje údajov, transformácie údajov, spúšťanie modelov, simulačné procesy a výstupy.</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reťazí kroky pracovného postupu tak, že výstup jedného kroku môže byť vstupom ďalšieho.</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sleduje stav vykonávania pracovných postupov vrátane dokončených, neúspešných a prerušených procesov.</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zaznamenáva pôvod výsledkov pracovných postupov vrátane použitých datasetov (s verziou a časovou pečiatkou), spustených modelov, zvolených parametrov a vygenerovaných výstupov.</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Poskytovať viacero vizualizácií údajov a výsledkov (napr. 2D, 3D, prehľady) nad spoločnými údajmi a modelmi na interakciu a porovnávanie</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poskytuje metadáta vysvetľujúce, čo je vizualizované, vrátane časovej pečiatky, priestorového rozsahu, zdroja údajov a prípadných predpokladov scenárov a variantov.</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podporuje rôzne typy interaktívnych vizualizácií, napríklad 2D mapy, 3D scény, prehľady, správy alebo pohľady pre verejnosť.</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Zabezpečiť, aby sa údaje (a výstupy simulácií) vymieňané v rámci LDT a medzi nimi dali interpretovať konzistentne vďaka zdieľanej alebo namapovanej sémantike a jasnému pôvodu</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má dokumentovať nevyriešené sémantické medzery, predpoklady alebo mapovania, ktoré môžu ovplyvniť interpretáciu, opätovné použitie alebo porovnanie výsledkov.</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Mechanizmy (v aktívnom vývoji)</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Prístup k zdrojom LDT cez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Štandardizované formáty údajov a výstupov</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 ako služba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Orchestrácia pracovných postupov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Prístup k výstupom a vizualizáciám vo viacerých pohľadoch</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Celé znenie špecifikácie: </w:t>
      </w:r>
      <w:hyperlink r:id="rId19">
        <w:r>
          <w:rPr>
            <w:color w:val="2F3F9E"/>
            <w:u w:val="single"/>
            <w:sz w:val="18"/>
          </w:rPr>
          <w:t>https://mims.oascities.org/local-digital-twins</w:t>
        </w:r>
      </w:hyperlink>
    </w:p>
    <w:p>
      <w:r>
        <w:br w:type="page"/>
      </w:r>
    </w:p>
    <w:p>
      <w:pPr>
        <w:spacing w:before="120" w:after="40"/>
      </w:pPr>
      <w:r>
        <w:rPr>
          <w:b/>
          <w:i w:val="0"/>
          <w:color w:val="2F3F9E"/>
          <w:sz w:val="36"/>
        </w:rPr>
        <w:t>Prierezové zmluvné klauzuly</w:t>
      </w:r>
    </w:p>
    <w:p>
      <w:pPr>
        <w:spacing w:before="40" w:after="120"/>
      </w:pPr>
      <w:r>
        <w:rPr>
          <w:b/>
          <w:i w:val="0"/>
          <w:color w:val="0B7485"/>
          <w:sz w:val="22"/>
        </w:rPr>
        <w:t>Poistky proti závislosti od dodávateľa</w:t>
      </w:r>
    </w:p>
    <w:p>
      <w:pPr>
        <w:spacing w:before="40" w:after="200"/>
      </w:pPr>
      <w:r>
        <w:rPr>
          <w:b w:val="0"/>
          <w:i w:val="0"/>
          <w:sz w:val="20"/>
        </w:rPr>
        <w:t>Tieto klauzuly patria do každej zákazky bez ohľadu na to, čo obstarávate. Vychádzajú z obstarávacej praxe okolo MIMs a living-in.eu. Väčšina sa neopiera o jednu konkrétnu požiadavku špecifikácie, preto nenesú referenčné kódy (verzovanie API odporúča aj MIM0 C2). Stoja málo; ich vynechanie môže stáť všetko.</w:t>
      </w:r>
    </w:p>
    <w:p>
      <w:pPr>
        <w:spacing w:before="40" w:after="20"/>
      </w:pPr>
      <w:r>
        <w:rPr>
          <w:b/>
          <w:i w:val="0"/>
          <w:color w:val="2F3F9E"/>
          <w:sz w:val="22"/>
        </w:rPr>
        <w:t xml:space="preserve">☐  </w:t>
      </w:r>
      <w:r>
        <w:rPr>
          <w:b/>
          <w:i w:val="0"/>
          <w:color w:val="2F3F9E"/>
          <w:sz w:val="21"/>
        </w:rPr>
        <w:t>X.1  Exitová stratégia</w:t>
      </w:r>
    </w:p>
    <w:p>
      <w:pPr>
        <w:spacing w:before="40" w:after="160"/>
      </w:pPr>
      <w:r>
        <w:rPr>
          <w:b w:val="0"/>
          <w:i w:val="0"/>
          <w:sz w:val="20"/>
        </w:rPr>
        <w:t>Pri skončení zmluvy dodávateľ bezodplatne odovzdá všetky údaje a konfiguráciu v otvorených, zdokumentovaných formátoch.</w:t>
      </w:r>
    </w:p>
    <w:p>
      <w:pPr>
        <w:spacing w:before="40" w:after="20"/>
      </w:pPr>
      <w:r>
        <w:rPr>
          <w:b/>
          <w:i w:val="0"/>
          <w:color w:val="2F3F9E"/>
          <w:sz w:val="22"/>
        </w:rPr>
        <w:t xml:space="preserve">☐  </w:t>
      </w:r>
      <w:r>
        <w:rPr>
          <w:b/>
          <w:i w:val="0"/>
          <w:color w:val="2F3F9E"/>
          <w:sz w:val="21"/>
        </w:rPr>
        <w:t>X.2  Práva k údajom</w:t>
      </w:r>
    </w:p>
    <w:p>
      <w:pPr>
        <w:spacing w:before="40" w:after="160"/>
      </w:pPr>
      <w:r>
        <w:rPr>
          <w:b w:val="0"/>
          <w:i w:val="0"/>
          <w:sz w:val="20"/>
        </w:rPr>
        <w:t>Všetky práva k údajom zozbieraným a odvodeným počas plnenia zmluvy patria verejnému obstarávateľovi.</w:t>
      </w:r>
    </w:p>
    <w:p>
      <w:pPr>
        <w:spacing w:before="40" w:after="20"/>
      </w:pPr>
      <w:r>
        <w:rPr>
          <w:b/>
          <w:i w:val="0"/>
          <w:color w:val="2F3F9E"/>
          <w:sz w:val="22"/>
        </w:rPr>
        <w:t xml:space="preserve">☐  </w:t>
      </w:r>
      <w:r>
        <w:rPr>
          <w:b/>
          <w:i w:val="0"/>
          <w:color w:val="2F3F9E"/>
          <w:sz w:val="21"/>
        </w:rPr>
        <w:t>X.3  Žiadne poplatky za vlastné údaje</w:t>
      </w:r>
    </w:p>
    <w:p>
      <w:pPr>
        <w:spacing w:before="40" w:after="160"/>
      </w:pPr>
      <w:r>
        <w:rPr>
          <w:b w:val="0"/>
          <w:i w:val="0"/>
          <w:sz w:val="20"/>
        </w:rPr>
        <w:t>Verejný obstarávateľ neplatí za prístup k vlastným údajom žiadny poplatok, ani podľa počtu používateľov, ani podľa počtu požiadaviek.</w:t>
      </w:r>
    </w:p>
    <w:p>
      <w:pPr>
        <w:spacing w:before="40" w:after="20"/>
      </w:pPr>
      <w:r>
        <w:rPr>
          <w:b/>
          <w:i w:val="0"/>
          <w:color w:val="2F3F9E"/>
          <w:sz w:val="22"/>
        </w:rPr>
        <w:t xml:space="preserve">☐  </w:t>
      </w:r>
      <w:r>
        <w:rPr>
          <w:b/>
          <w:i w:val="0"/>
          <w:color w:val="2F3F9E"/>
          <w:sz w:val="21"/>
        </w:rPr>
        <w:t>X.4  Stabilita a verzie API</w:t>
      </w:r>
    </w:p>
    <w:p>
      <w:pPr>
        <w:spacing w:before="40" w:after="160"/>
      </w:pPr>
      <w:r>
        <w:rPr>
          <w:b w:val="0"/>
          <w:i w:val="0"/>
          <w:sz w:val="20"/>
        </w:rPr>
        <w:t>Dodávateľ zachová spätnú kompatibilitu API počas celého trvania zmluvy. Nekompatibilné zmeny oznámi aspoň 6 mesiacov vopred a vydá ich ako novú verziu; predchádzajúca verzia zostane dostupná do dohodnutého termínu prechodu.</w:t>
      </w:r>
    </w:p>
    <w:p>
      <w:pPr>
        <w:spacing w:before="40" w:after="20"/>
      </w:pPr>
      <w:r>
        <w:rPr>
          <w:b/>
          <w:i w:val="0"/>
          <w:color w:val="2F3F9E"/>
          <w:sz w:val="22"/>
        </w:rPr>
        <w:t xml:space="preserve">☐  </w:t>
      </w:r>
      <w:r>
        <w:rPr>
          <w:b/>
          <w:i w:val="0"/>
          <w:color w:val="2F3F9E"/>
          <w:sz w:val="21"/>
        </w:rPr>
        <w:t>X.5  Ukázať, nie sľúbiť</w:t>
      </w:r>
    </w:p>
    <w:p>
      <w:pPr>
        <w:spacing w:before="40" w:after="160"/>
      </w:pPr>
      <w:r>
        <w:rPr>
          <w:b w:val="0"/>
          <w:i w:val="0"/>
          <w:sz w:val="20"/>
        </w:rPr>
        <w:t>Uchádzači preukážu splnenie požiadaviek už pri vyhodnocovaní ponúk, nie čestným vyhlásením. Pri API to znamená zverejnenú interaktívnu dokumentáciu (napr. OpenAPI) a živé volanie, ktoré vráti platné údaje. Každá označená položka sa znovu otestuje pri odovzdaní a prevzatí.</w:t>
      </w:r>
    </w:p>
    <w:p>
      <w:pPr>
        <w:spacing w:before="40" w:after="20"/>
      </w:pPr>
      <w:r>
        <w:rPr>
          <w:b/>
          <w:i w:val="0"/>
          <w:color w:val="2F3F9E"/>
          <w:sz w:val="22"/>
        </w:rPr>
        <w:t xml:space="preserve">☐  </w:t>
      </w:r>
      <w:r>
        <w:rPr>
          <w:b/>
          <w:i w:val="0"/>
          <w:color w:val="2F3F9E"/>
          <w:sz w:val="21"/>
        </w:rPr>
        <w:t>X.6  Konkrétne otvorené štandardy</w:t>
      </w:r>
    </w:p>
    <w:p>
      <w:pPr>
        <w:spacing w:before="40" w:after="160"/>
      </w:pPr>
      <w:r>
        <w:rPr>
          <w:b w:val="0"/>
          <w:i w:val="0"/>
          <w:sz w:val="20"/>
        </w:rPr>
        <w:t>Súťažné podklady uvádzajú konkrétne štandardy; tvrdenie „kompatibilné s…“ musí uviesť presné rozhranie a verziu. Pri každom odkaze na normu alebo technickú špecifikáciu sa pripúšťa ekvivalentné riešenie; ekvivalentnosť preukazuje uchádzač.</w:t>
      </w:r>
    </w:p>
    <w:p>
      <w:pPr>
        <w:spacing w:before="40" w:after="20"/>
      </w:pPr>
      <w:r>
        <w:rPr>
          <w:b/>
          <w:i w:val="0"/>
          <w:color w:val="2F3F9E"/>
          <w:sz w:val="22"/>
        </w:rPr>
        <w:t xml:space="preserve">☐  </w:t>
      </w:r>
      <w:r>
        <w:rPr>
          <w:b/>
          <w:i w:val="0"/>
          <w:color w:val="2F3F9E"/>
          <w:sz w:val="21"/>
        </w:rPr>
        <w:t>X.7  Súlad s MIMs</w:t>
      </w:r>
    </w:p>
    <w:p>
      <w:pPr>
        <w:spacing w:before="40" w:after="160"/>
      </w:pPr>
      <w:r>
        <w:rPr>
          <w:b w:val="0"/>
          <w:i w:val="0"/>
          <w:sz w:val="20"/>
        </w:rPr>
        <w:t>Uchádzač vyplní tabuľku zhody (s. 28); tá sa stane prílohou zmluvy.</w:t>
      </w:r>
    </w:p>
    <w:p>
      <w:r>
        <w:br w:type="page"/>
      </w:r>
    </w:p>
    <w:p>
      <w:pPr>
        <w:spacing w:before="120" w:after="160"/>
      </w:pPr>
      <w:r>
        <w:rPr>
          <w:b/>
          <w:i w:val="0"/>
          <w:color w:val="2F3F9E"/>
          <w:sz w:val="36"/>
        </w:rPr>
        <w:t>Príklad: mesto kupuje sieť senzorov kvality ovzdušia</w:t>
      </w:r>
    </w:p>
    <w:p>
      <w:pPr>
        <w:spacing w:before="40" w:after="160"/>
      </w:pPr>
      <w:r>
        <w:rPr>
          <w:b w:val="0"/>
          <w:i w:val="0"/>
          <w:sz w:val="20"/>
        </w:rPr>
        <w:t>Označené strany: MIM0, MIM1, MIM2, MIM6 a MIM7 (údaje idú na mapu). MIM3 len položka 3.1 (údaje o ovzduší sa zverejňujú ako otvorené údaje, preto patria do katalógu); MIM8 nie: nejde o digitálne dvojča.</w:t>
      </w:r>
    </w:p>
    <w:p>
      <w:pPr>
        <w:spacing w:before="40" w:after="80"/>
      </w:pPr>
      <w:r>
        <w:rPr>
          <w:b/>
          <w:i w:val="0"/>
          <w:color w:val="2F3F9E"/>
          <w:sz w:val="22"/>
        </w:rPr>
        <w:t>Kam čo patrí</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Pojem smernice 2014/24/EÚ</w:t>
            </w:r>
          </w:p>
        </w:tc>
        <w:tc>
          <w:tcPr>
            <w:tcW w:type="dxa" w:w="3324"/>
            <w:shd w:val="clear" w:fill="EEF0FB"/>
          </w:tcPr>
          <w:p>
            <w:r>
              <w:rPr>
                <w:b/>
                <w:i w:val="0"/>
                <w:color w:val="2F3F9E"/>
                <w:sz w:val="18"/>
              </w:rPr>
              <w:t>Čo doň vložiť</w:t>
            </w:r>
          </w:p>
        </w:tc>
      </w:tr>
      <w:tr>
        <w:tc>
          <w:tcPr>
            <w:tcW w:type="dxa" w:w="3324"/>
          </w:tcPr>
          <w:p>
            <w:r>
              <w:rPr>
                <w:b/>
                <w:i w:val="0"/>
                <w:color w:val="2F3F9E"/>
                <w:sz w:val="18"/>
              </w:rPr>
              <w:t>Opis predmetu zákazky</w:t>
            </w:r>
          </w:p>
        </w:tc>
        <w:tc>
          <w:tcPr>
            <w:tcW w:type="dxa" w:w="3324"/>
          </w:tcPr>
          <w:p>
            <w:r>
              <w:rPr>
                <w:b w:val="0"/>
                <w:i w:val="0"/>
                <w:color w:val="646B82"/>
                <w:sz w:val="17"/>
              </w:rPr>
              <w:t>technické špecifikácie (čl. 42)</w:t>
            </w:r>
          </w:p>
        </w:tc>
        <w:tc>
          <w:tcPr>
            <w:tcW w:type="dxa" w:w="3324"/>
          </w:tcPr>
          <w:p>
            <w:r>
              <w:rPr>
                <w:b w:val="0"/>
                <w:i w:val="0"/>
                <w:sz w:val="18"/>
              </w:rPr>
              <w:t>označené položky MIM0, MIM1, MIM2, MIM3 (len 3.1), MIM6 (okrem 6.4) a MIM7, doslovne, s kódom špecifikácie, a veta o ekvivalente</w:t>
            </w:r>
          </w:p>
        </w:tc>
      </w:tr>
      <w:tr>
        <w:tc>
          <w:tcPr>
            <w:tcW w:type="dxa" w:w="3324"/>
          </w:tcPr>
          <w:p>
            <w:r>
              <w:rPr>
                <w:b/>
                <w:i w:val="0"/>
                <w:color w:val="2F3F9E"/>
                <w:sz w:val="18"/>
              </w:rPr>
              <w:t>Podmienky účasti</w:t>
            </w:r>
          </w:p>
        </w:tc>
        <w:tc>
          <w:tcPr>
            <w:tcW w:type="dxa" w:w="3324"/>
          </w:tcPr>
          <w:p>
            <w:r>
              <w:rPr>
                <w:b w:val="0"/>
                <w:i w:val="0"/>
                <w:color w:val="646B82"/>
                <w:sz w:val="17"/>
              </w:rPr>
              <w:t>podmienky účasti (čl. 58 a 62)</w:t>
            </w:r>
          </w:p>
        </w:tc>
        <w:tc>
          <w:tcPr>
            <w:tcW w:type="dxa" w:w="3324"/>
          </w:tcPr>
          <w:p>
            <w:r>
              <w:rPr>
                <w:b w:val="0"/>
                <w:i w:val="0"/>
                <w:sz w:val="18"/>
              </w:rPr>
              <w:t>preukázaný súlad s ISO/IEC 27001:2022 alebo ekvivalent (položka 6.4)</w:t>
            </w:r>
          </w:p>
        </w:tc>
      </w:tr>
      <w:tr>
        <w:tc>
          <w:tcPr>
            <w:tcW w:type="dxa" w:w="3324"/>
          </w:tcPr>
          <w:p>
            <w:r>
              <w:rPr>
                <w:b/>
                <w:i w:val="0"/>
                <w:color w:val="2F3F9E"/>
                <w:sz w:val="18"/>
              </w:rPr>
              <w:t>Spôsob preukázania</w:t>
            </w:r>
          </w:p>
        </w:tc>
        <w:tc>
          <w:tcPr>
            <w:tcW w:type="dxa" w:w="3324"/>
          </w:tcPr>
          <w:p>
            <w:r>
              <w:rPr>
                <w:b w:val="0"/>
                <w:i w:val="0"/>
                <w:color w:val="646B82"/>
                <w:sz w:val="17"/>
              </w:rPr>
              <w:t>skúšobné protokoly, osvedčenia a iné dôkazné prostriedky (čl. 44)</w:t>
            </w:r>
          </w:p>
        </w:tc>
        <w:tc>
          <w:tcPr>
            <w:tcW w:type="dxa" w:w="3324"/>
          </w:tcPr>
          <w:p>
            <w:r>
              <w:rPr>
                <w:b w:val="0"/>
                <w:i w:val="0"/>
                <w:sz w:val="18"/>
              </w:rPr>
              <w:t>tabuľka zhody ako povinná príloha ponuky: pri každej položke S, E alebo N a dôkaz (adresa dokumentácie API, testovací prístup)</w:t>
            </w:r>
          </w:p>
        </w:tc>
      </w:tr>
      <w:tr>
        <w:tc>
          <w:tcPr>
            <w:tcW w:type="dxa" w:w="3324"/>
          </w:tcPr>
          <w:p>
            <w:r>
              <w:rPr>
                <w:b/>
                <w:i w:val="0"/>
                <w:color w:val="2F3F9E"/>
                <w:sz w:val="18"/>
              </w:rPr>
              <w:t>Návrh zmluvy</w:t>
            </w:r>
          </w:p>
        </w:tc>
        <w:tc>
          <w:tcPr>
            <w:tcW w:type="dxa" w:w="3324"/>
          </w:tcPr>
          <w:p>
            <w:r>
              <w:rPr>
                <w:b w:val="0"/>
                <w:i w:val="0"/>
                <w:color w:val="646B82"/>
                <w:sz w:val="17"/>
              </w:rPr>
              <w:t>podmienky plnenia zákazky (čl. 70)</w:t>
            </w:r>
          </w:p>
        </w:tc>
        <w:tc>
          <w:tcPr>
            <w:tcW w:type="dxa" w:w="3324"/>
          </w:tcPr>
          <w:p>
            <w:r>
              <w:rPr>
                <w:b w:val="0"/>
                <w:i w:val="0"/>
                <w:sz w:val="18"/>
              </w:rPr>
              <w:t>Exitová stratégia, Práva k údajom, Žiadne poplatky za vlastné údaje, Stabilita a verzie API; vyplnená tabuľka zhody ako príloha</w:t>
            </w:r>
          </w:p>
        </w:tc>
      </w:tr>
      <w:tr>
        <w:tc>
          <w:tcPr>
            <w:tcW w:type="dxa" w:w="3324"/>
          </w:tcPr>
          <w:p>
            <w:r>
              <w:rPr>
                <w:b/>
                <w:i w:val="0"/>
                <w:color w:val="2F3F9E"/>
                <w:sz w:val="18"/>
              </w:rPr>
              <w:t>Preberací (akceptačný) protokol</w:t>
            </w:r>
          </w:p>
        </w:tc>
        <w:tc>
          <w:tcPr>
            <w:tcW w:type="dxa" w:w="3324"/>
          </w:tcPr>
          <w:p>
            <w:r>
              <w:rPr>
                <w:b w:val="0"/>
                <w:i w:val="0"/>
                <w:color w:val="646B82"/>
                <w:sz w:val="17"/>
              </w:rPr>
              <w:t>podmienky plnenia zákazky (čl. 70)</w:t>
            </w:r>
          </w:p>
        </w:tc>
        <w:tc>
          <w:tcPr>
            <w:tcW w:type="dxa" w:w="3324"/>
          </w:tcPr>
          <w:p>
            <w:r>
              <w:rPr>
                <w:b w:val="0"/>
                <w:i w:val="0"/>
                <w:sz w:val="18"/>
              </w:rPr>
              <w:t>stĺpec „Overené“ tabuľky zhody ako testovací protokol</w:t>
            </w:r>
          </w:p>
        </w:tc>
      </w:tr>
    </w:tbl>
    <w:p>
      <w:pPr>
        <w:spacing w:before="200" w:after="80"/>
      </w:pPr>
      <w:r>
        <w:rPr>
          <w:b/>
          <w:i w:val="0"/>
          <w:color w:val="2F3F9E"/>
          <w:sz w:val="22"/>
        </w:rPr>
        <w:t>Ukážka textu v opise predmetu zákazky</w:t>
      </w:r>
    </w:p>
    <w:p>
      <w:pPr>
        <w:spacing w:before="40" w:after="60"/>
      </w:pPr>
      <w:r>
        <w:rPr>
          <w:b/>
          <w:i w:val="0"/>
          <w:sz w:val="19"/>
        </w:rPr>
        <w:t>4.3 Interoperabilita a prístup k údajom</w:t>
      </w:r>
    </w:p>
    <w:p>
      <w:pPr>
        <w:spacing w:before="40" w:after="60"/>
      </w:pPr>
      <w:r>
        <w:rPr>
          <w:b w:val="0"/>
          <w:i w:val="0"/>
          <w:sz w:val="19"/>
        </w:rPr>
        <w:t>4.3.1 Systém musí sprístupňovať všetky údaje, ktoré zbiera alebo vytvára, aspoň v jednom strojovo čitateľnom formáte (napr. JSON, CSV) cez štandardné webové API. (MIMs Plus 9.0, MIM0 R1.1, R1.2)</w:t>
      </w:r>
    </w:p>
    <w:p>
      <w:pPr>
        <w:spacing w:before="40" w:after="60"/>
      </w:pPr>
      <w:r>
        <w:rPr>
          <w:b w:val="0"/>
          <w:i w:val="0"/>
          <w:sz w:val="19"/>
        </w:rPr>
        <w:t>4.3.2 API musí byť formálne opísané v otvorenom, strojovo čitateľnom dokumente (napr. OpenAPI) zverejnenom na stálej adrese. (MIM0 R1.3)</w:t>
      </w:r>
    </w:p>
    <w:p>
      <w:pPr>
        <w:spacing w:before="40" w:after="60"/>
      </w:pPr>
      <w:r>
        <w:rPr>
          <w:b w:val="0"/>
          <w:i w:val="0"/>
          <w:sz w:val="19"/>
        </w:rPr>
        <w:t>4.3.3 API musí umožňovať filtrovanie údajov podľa času a miesta merania. (MIM0 R2.1, R2.2)</w:t>
      </w:r>
    </w:p>
    <w:p>
      <w:pPr>
        <w:spacing w:before="40" w:after="60"/>
      </w:pPr>
      <w:r>
        <w:rPr>
          <w:b w:val="0"/>
          <w:i w:val="0"/>
          <w:sz w:val="19"/>
        </w:rPr>
        <w:t>… 4.3.4 až 4.3.21: ďalšie označené položky …</w:t>
      </w:r>
    </w:p>
    <w:p>
      <w:pPr>
        <w:spacing w:before="40" w:after="60"/>
      </w:pPr>
      <w:r>
        <w:rPr>
          <w:b w:val="0"/>
          <w:i w:val="0"/>
          <w:sz w:val="19"/>
        </w:rPr>
        <w:t>4.3.22 Pri každom odkaze na normu alebo technickú špecifikáciu sa pripúšťa ekvivalentné riešenie; ekvivalentnosť preukazuje uchádzač.</w:t>
      </w:r>
    </w:p>
    <w:p>
      <w:pPr>
        <w:spacing w:before="40" w:after="60"/>
      </w:pPr>
      <w:r>
        <w:rPr>
          <w:b w:val="0"/>
          <w:i w:val="0"/>
          <w:sz w:val="19"/>
        </w:rPr>
        <w:t>4.3.23 Uchádzač vyplní tabuľku zhody (príloha súťažných podkladov) a pri každej vyžadovanej položke uvedie dôkaz. Pri vyhodnocovaní ponúk uchádzač splnenie bodov 4.3.1 až 4.3.21 predvedie (napr. živým volaním API); ponuka, ktorá vyžadovaný bod nesplní, nespĺňa požiadavky na predmet zákazky. Verejný obstarávateľ body znovu otestuje pri prevzatí; nesplnenie je vtedy dôvodom na odmietnutie prevzatia plnenia.</w:t>
      </w:r>
    </w:p>
    <w:p>
      <w:pPr>
        <w:spacing w:before="120" w:after="80"/>
      </w:pPr>
      <w:r>
        <w:rPr>
          <w:b w:val="0"/>
          <w:i/>
          <w:color w:val="646B82"/>
          <w:sz w:val="18"/>
        </w:rPr>
        <w:t>Bod 4.3.3 ukazuje, že položku môžete spresniť podľa nákupu: pri senzoroch má zmysel žiadať filtrovanie podľa času a miesta merania.</w:t>
      </w:r>
    </w:p>
    <w:p>
      <w:pPr>
        <w:spacing w:before="160" w:after="80"/>
      </w:pPr>
      <w:r>
        <w:rPr>
          <w:b/>
          <w:i w:val="0"/>
          <w:color w:val="2F3F9E"/>
          <w:sz w:val="22"/>
        </w:rPr>
        <w:t>Ukážka vyplnenej tabuľky zhody</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Požiadavka (skrátene)</w:t>
            </w:r>
          </w:p>
        </w:tc>
        <w:tc>
          <w:tcPr>
            <w:tcW w:type="dxa" w:w="1994"/>
            <w:shd w:val="clear" w:fill="EEF0FB"/>
          </w:tcPr>
          <w:p>
            <w:r>
              <w:rPr>
                <w:b/>
                <w:i w:val="0"/>
                <w:color w:val="2F3F9E"/>
                <w:sz w:val="17"/>
              </w:rPr>
              <w:t>S / E / N</w:t>
            </w:r>
          </w:p>
        </w:tc>
        <w:tc>
          <w:tcPr>
            <w:tcW w:type="dxa" w:w="1994"/>
            <w:shd w:val="clear" w:fill="EEF0FB"/>
          </w:tcPr>
          <w:p>
            <w:r>
              <w:rPr>
                <w:b/>
                <w:i w:val="0"/>
                <w:color w:val="2F3F9E"/>
                <w:sz w:val="17"/>
              </w:rPr>
              <w:t>Ako a kde je dôkaz</w:t>
            </w:r>
          </w:p>
        </w:tc>
        <w:tc>
          <w:tcPr>
            <w:tcW w:type="dxa" w:w="1994"/>
            <w:shd w:val="clear" w:fill="EEF0FB"/>
          </w:tcPr>
          <w:p>
            <w:r>
              <w:rPr>
                <w:b/>
                <w:i w:val="0"/>
                <w:color w:val="2F3F9E"/>
                <w:sz w:val="17"/>
              </w:rPr>
              <w:t>Overené</w:t>
            </w:r>
          </w:p>
        </w:tc>
      </w:tr>
      <w:tr>
        <w:tc>
          <w:tcPr>
            <w:tcW w:type="dxa" w:w="1994"/>
          </w:tcPr>
          <w:p>
            <w:r>
              <w:rPr>
                <w:b w:val="0"/>
                <w:i w:val="0"/>
                <w:sz w:val="17"/>
              </w:rPr>
              <w:t>0.1</w:t>
            </w:r>
          </w:p>
        </w:tc>
        <w:tc>
          <w:tcPr>
            <w:tcW w:type="dxa" w:w="1994"/>
          </w:tcPr>
          <w:p>
            <w:r>
              <w:rPr>
                <w:b w:val="0"/>
                <w:i w:val="0"/>
                <w:sz w:val="17"/>
              </w:rPr>
              <w:t>Strojovo čitateľné údaje cez štandardné webové API</w:t>
            </w:r>
          </w:p>
        </w:tc>
        <w:tc>
          <w:tcPr>
            <w:tcW w:type="dxa" w:w="1994"/>
          </w:tcPr>
          <w:p>
            <w:r>
              <w:rPr>
                <w:b w:val="0"/>
                <w:i w:val="0"/>
                <w:sz w:val="17"/>
              </w:rPr>
              <w:t>S</w:t>
            </w:r>
          </w:p>
        </w:tc>
        <w:tc>
          <w:tcPr>
            <w:tcW w:type="dxa" w:w="1994"/>
          </w:tcPr>
          <w:p>
            <w:r>
              <w:rPr>
                <w:b w:val="0"/>
                <w:i w:val="0"/>
                <w:sz w:val="17"/>
              </w:rPr>
              <w:t>REST API vracia JSON a CSV; dokumentácia na adrese uvedenej v ponuke, s. 12; testovací prístup v prílohe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Odber zmien tam, kde treba</w:t>
            </w:r>
          </w:p>
        </w:tc>
        <w:tc>
          <w:tcPr>
            <w:tcW w:type="dxa" w:w="1994"/>
          </w:tcPr>
          <w:p>
            <w:r>
              <w:rPr>
                <w:b w:val="0"/>
                <w:i w:val="0"/>
                <w:sz w:val="17"/>
              </w:rPr>
              <w:t>N</w:t>
            </w:r>
          </w:p>
        </w:tc>
        <w:tc>
          <w:tcPr>
            <w:tcW w:type="dxa" w:w="1994"/>
          </w:tcPr>
          <w:p>
            <w:r>
              <w:rPr>
                <w:b w:val="0"/>
                <w:i w:val="0"/>
                <w:sz w:val="17"/>
              </w:rPr>
              <w:t>zatiaľ nepodporované; plánované v ďalšej verzii</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Otvorené geopriestorové formáty</w:t>
            </w:r>
          </w:p>
        </w:tc>
        <w:tc>
          <w:tcPr>
            <w:tcW w:type="dxa" w:w="1994"/>
          </w:tcPr>
          <w:p>
            <w:r>
              <w:rPr>
                <w:b w:val="0"/>
                <w:i w:val="0"/>
                <w:sz w:val="17"/>
              </w:rPr>
              <w:t>E</w:t>
            </w:r>
          </w:p>
        </w:tc>
        <w:tc>
          <w:tcPr>
            <w:tcW w:type="dxa" w:w="1994"/>
          </w:tcPr>
          <w:p>
            <w:r>
              <w:rPr>
                <w:b w:val="0"/>
                <w:i w:val="0"/>
                <w:sz w:val="17"/>
              </w:rPr>
              <w:t>namiesto GeoJSON dodáva GeoPackage, otvorený štandard OGC; zdôvodnenie ekvivalentnosti v ponuke, s. 15</w:t>
            </w:r>
          </w:p>
        </w:tc>
        <w:tc>
          <w:tcPr>
            <w:tcW w:type="dxa" w:w="1994"/>
          </w:tcPr>
          <w:p>
            <w:r>
              <w:rPr>
                <w:b w:val="0"/>
                <w:i w:val="0"/>
                <w:sz w:val="17"/>
              </w:rPr>
              <w:t>✓</w:t>
            </w:r>
          </w:p>
        </w:tc>
      </w:tr>
    </w:tbl>
    <w:p>
      <w:pPr>
        <w:spacing w:before="80" w:after="80"/>
      </w:pPr>
      <w:r>
        <w:rPr>
          <w:b w:val="0"/>
          <w:i/>
          <w:color w:val="646B82"/>
          <w:sz w:val="18"/>
        </w:rPr>
        <w:t>Prísľub budúcej funkcionality sa hodnotí ako N: komisia overuje len to, čo uchádzač vie predviesť. Pri vyžadovanej položke znamená N nesplnenie požiadaviek na predmet zákazky.</w:t>
      </w:r>
    </w:p>
    <w:p>
      <w:pPr>
        <w:spacing w:before="40" w:after="80"/>
      </w:pPr>
      <w:r>
        <w:rPr>
          <w:b w:val="0"/>
          <w:i/>
          <w:color w:val="646B82"/>
          <w:sz w:val="18"/>
        </w:rPr>
        <w:t>Znenie prispôsobte vnútroštátnemu právu a dajte skontrolovať osobe zodpovednej za obstarávanie.</w:t>
      </w:r>
    </w:p>
    <w:p>
      <w:r>
        <w:br w:type="page"/>
      </w:r>
    </w:p>
    <w:p>
      <w:pPr>
        <w:spacing w:before="120" w:after="160"/>
      </w:pPr>
      <w:r>
        <w:rPr>
          <w:b/>
          <w:i w:val="0"/>
          <w:color w:val="2F3F9E"/>
          <w:sz w:val="36"/>
        </w:rPr>
        <w:t>Tabuľka zhody</w:t>
      </w:r>
    </w:p>
    <w:p>
      <w:pPr>
        <w:spacing w:before="40" w:after="80"/>
      </w:pPr>
      <w:r>
        <w:rPr>
          <w:b w:val="0"/>
          <w:i w:val="0"/>
          <w:sz w:val="19"/>
        </w:rPr>
        <w:t>Jeden riadok na položku. Verejný obstarávateľ označí, čo zákazka vyžaduje, a tabuľku priloží k súťažným podkladom ako povinnú prílohu ponuky. Uchádzač pri každej vyžadovanej položke uvedie S (spĺňa), E (spĺňa ekvivalentom) alebo N (nespĺňa), stručne ako, a kde je dôkaz: adresa dokumentácie, testovací prístup, strana ponuky. Vyhlásenie bez dôkazu nestačí. Komisia každú položku overí pri vyhodnocovaní ponúk a znovu pri prevzatí (✓ potvrdené, ✗ nepotvrdené, — neoverovalo sa).</w:t>
      </w:r>
    </w:p>
    <w:p>
      <w:pPr>
        <w:spacing w:before="40" w:after="160"/>
      </w:pPr>
      <w:r>
        <w:rPr>
          <w:b w:val="0"/>
          <w:i w:val="0"/>
          <w:sz w:val="19"/>
        </w:rPr>
        <w:t>Vyplnená tabuľka je súčasťou ponuky a stáva sa prílohou zmluvy. Overuje splnenie požiadaviek na predmet zákazky (splnil alebo nesplnil); nie je kritériom na vyhodnotenie ponúk. Ak chcete mieru zhody hodnotiť bodmi, uveďte to medzi kritériami na vyhodnotenie ponúk zverejnenými vopred v súťažných podkladoch (smernica 2014/24/EÚ, článok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Požiadavka (skrátene)</w:t>
            </w:r>
          </w:p>
        </w:tc>
        <w:tc>
          <w:tcPr>
            <w:tcW w:type="dxa" w:w="1701"/>
            <w:shd w:val="clear" w:fill="EEF0FB"/>
          </w:tcPr>
          <w:p>
            <w:r>
              <w:rPr>
                <w:b/>
                <w:i w:val="0"/>
                <w:color w:val="2F3F9E"/>
                <w:sz w:val="17"/>
              </w:rPr>
              <w:t>Ref. špec.</w:t>
            </w:r>
          </w:p>
        </w:tc>
        <w:tc>
          <w:tcPr>
            <w:tcW w:type="dxa" w:w="1077"/>
            <w:shd w:val="clear" w:fill="EEF0FB"/>
          </w:tcPr>
          <w:p>
            <w:r>
              <w:rPr>
                <w:b/>
                <w:i w:val="0"/>
                <w:color w:val="2F3F9E"/>
                <w:sz w:val="17"/>
              </w:rPr>
              <w:t>Vyžadované?</w:t>
            </w:r>
          </w:p>
          <w:p>
            <w:r>
              <w:rPr>
                <w:b w:val="0"/>
                <w:i/>
                <w:color w:val="646B82"/>
                <w:sz w:val="15"/>
              </w:rPr>
              <w:t>verejný obstarávateľ</w:t>
            </w:r>
          </w:p>
        </w:tc>
        <w:tc>
          <w:tcPr>
            <w:tcW w:type="dxa" w:w="794"/>
            <w:shd w:val="clear" w:fill="EEF0FB"/>
          </w:tcPr>
          <w:p>
            <w:r>
              <w:rPr>
                <w:b/>
                <w:i w:val="0"/>
                <w:color w:val="2F3F9E"/>
                <w:sz w:val="17"/>
              </w:rPr>
              <w:t>S / E / N</w:t>
            </w:r>
          </w:p>
          <w:p>
            <w:r>
              <w:rPr>
                <w:b w:val="0"/>
                <w:i/>
                <w:color w:val="646B82"/>
                <w:sz w:val="15"/>
              </w:rPr>
              <w:t>uchádzač</w:t>
            </w:r>
          </w:p>
        </w:tc>
        <w:tc>
          <w:tcPr>
            <w:tcW w:type="dxa" w:w="2154"/>
            <w:shd w:val="clear" w:fill="EEF0FB"/>
          </w:tcPr>
          <w:p>
            <w:r>
              <w:rPr>
                <w:b/>
                <w:i w:val="0"/>
                <w:color w:val="2F3F9E"/>
                <w:sz w:val="17"/>
              </w:rPr>
              <w:t>Ako a kde je dôkaz</w:t>
            </w:r>
          </w:p>
          <w:p>
            <w:r>
              <w:rPr>
                <w:b w:val="0"/>
                <w:i/>
                <w:color w:val="646B82"/>
                <w:sz w:val="15"/>
              </w:rPr>
              <w:t>uchádzač</w:t>
            </w:r>
          </w:p>
        </w:tc>
        <w:tc>
          <w:tcPr>
            <w:tcW w:type="dxa" w:w="794"/>
            <w:shd w:val="clear" w:fill="EEF0FB"/>
          </w:tcPr>
          <w:p>
            <w:r>
              <w:rPr>
                <w:b/>
                <w:i w:val="0"/>
                <w:color w:val="2F3F9E"/>
                <w:sz w:val="17"/>
              </w:rPr>
              <w:t>Overené</w:t>
            </w:r>
          </w:p>
          <w:p>
            <w:r>
              <w:rPr>
                <w:b w:val="0"/>
                <w:i/>
                <w:color w:val="646B82"/>
                <w:sz w:val="15"/>
              </w:rPr>
              <w:t>komisia</w:t>
            </w:r>
          </w:p>
        </w:tc>
      </w:tr>
      <w:tr>
        <w:tc>
          <w:tcPr>
            <w:tcW w:type="dxa" w:w="9975"/>
            <w:gridSpan w:val="7"/>
            <w:shd w:val="clear" w:fill="2F3F9E"/>
          </w:tcPr>
          <w:p>
            <w:r>
              <w:rPr>
                <w:b/>
                <w:i w:val="0"/>
                <w:color w:val="FFFFFF"/>
                <w:sz w:val="17"/>
              </w:rPr>
              <w:t>MIM0 · Dostaneme svoje údaje von?</w:t>
            </w:r>
          </w:p>
        </w:tc>
      </w:tr>
      <w:tr>
        <w:tc>
          <w:tcPr>
            <w:tcW w:type="dxa" w:w="567"/>
          </w:tcPr>
          <w:p>
            <w:r>
              <w:rPr>
                <w:b w:val="0"/>
                <w:i w:val="0"/>
                <w:sz w:val="17"/>
              </w:rPr>
              <w:t>0.1</w:t>
            </w:r>
          </w:p>
        </w:tc>
        <w:tc>
          <w:tcPr>
            <w:tcW w:type="dxa" w:w="2608"/>
          </w:tcPr>
          <w:p>
            <w:r>
              <w:rPr>
                <w:b w:val="0"/>
                <w:i w:val="0"/>
                <w:sz w:val="17"/>
              </w:rPr>
              <w:t>Strojovo čitateľné údaje cez štandardné webové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Otvorený opis API (OpenAPI) na stálej adrese</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Filtrovanie podľa času, miesta, atribútov</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Odber zmien tam, kde treba</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Štandardné HTTP chyby, cache, limity</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Má každá vec trvalé meno?</w:t>
            </w:r>
          </w:p>
        </w:tc>
      </w:tr>
      <w:tr>
        <w:tc>
          <w:tcPr>
            <w:tcW w:type="dxa" w:w="567"/>
          </w:tcPr>
          <w:p>
            <w:r>
              <w:rPr>
                <w:b w:val="0"/>
                <w:i w:val="0"/>
                <w:sz w:val="17"/>
              </w:rPr>
              <w:t>1.1</w:t>
            </w:r>
          </w:p>
        </w:tc>
        <w:tc>
          <w:tcPr>
            <w:tcW w:type="dxa" w:w="2608"/>
          </w:tcPr>
          <w:p>
            <w:r>
              <w:rPr>
                <w:b w:val="0"/>
                <w:i w:val="0"/>
                <w:sz w:val="17"/>
              </w:rPr>
              <w:t>Jedinečný trvalý identifikátor entity</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Vyhľadanie identifikátora vráti údaje + typ</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Mapovanie identifikátorov medzi systémami</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Žiadne interné detaily dodávateľa v ID</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Hovoríme spoločným jazykom?</w:t>
            </w:r>
          </w:p>
        </w:tc>
      </w:tr>
      <w:tr>
        <w:tc>
          <w:tcPr>
            <w:tcW w:type="dxa" w:w="567"/>
          </w:tcPr>
          <w:p>
            <w:r>
              <w:rPr>
                <w:b w:val="0"/>
                <w:i w:val="0"/>
                <w:sz w:val="17"/>
              </w:rPr>
              <w:t>2.1</w:t>
            </w:r>
          </w:p>
        </w:tc>
        <w:tc>
          <w:tcPr>
            <w:tcW w:type="dxa" w:w="2608"/>
          </w:tcPr>
          <w:p>
            <w:r>
              <w:rPr>
                <w:b w:val="0"/>
                <w:i w:val="0"/>
                <w:sz w:val="17"/>
              </w:rPr>
              <w:t>Štandardné dátové modely, kde je to možné</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Modely zdokumentované, jednotky explicitné</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Rozšírenia ako profily, nie ako fork</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Otvorená serializácia s validáciou schémou</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Vieme zdieľať za jasných podmienok?</w:t>
            </w:r>
          </w:p>
        </w:tc>
      </w:tr>
      <w:tr>
        <w:tc>
          <w:tcPr>
            <w:tcW w:type="dxa" w:w="567"/>
          </w:tcPr>
          <w:p>
            <w:r>
              <w:rPr>
                <w:b w:val="0"/>
                <w:i w:val="0"/>
                <w:sz w:val="17"/>
              </w:rPr>
              <w:t>3.1</w:t>
            </w:r>
          </w:p>
        </w:tc>
        <w:tc>
          <w:tcPr>
            <w:tcW w:type="dxa" w:w="2608"/>
          </w:tcPr>
          <w:p>
            <w:r>
              <w:rPr>
                <w:b w:val="0"/>
                <w:i w:val="0"/>
                <w:sz w:val="17"/>
              </w:rPr>
              <w:t>Datasety v katalógu so štandardnými metadátami</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Šablónové licencie a zmluvy</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Verejný obstarávateľ sám riadi podmienky prístupu</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Sú naše údaje v bezpečí?</w:t>
            </w:r>
          </w:p>
        </w:tc>
      </w:tr>
      <w:tr>
        <w:tc>
          <w:tcPr>
            <w:tcW w:type="dxa" w:w="567"/>
          </w:tcPr>
          <w:p>
            <w:r>
              <w:rPr>
                <w:b w:val="0"/>
                <w:i w:val="0"/>
                <w:sz w:val="17"/>
              </w:rPr>
              <w:t>6.1</w:t>
            </w:r>
          </w:p>
        </w:tc>
        <w:tc>
          <w:tcPr>
            <w:tcW w:type="dxa" w:w="2608"/>
          </w:tcPr>
          <w:p>
            <w:r>
              <w:rPr>
                <w:b w:val="0"/>
                <w:i w:val="0"/>
                <w:sz w:val="17"/>
              </w:rPr>
              <w:t>Šifrovaný prenos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Štandardné prihlasovanie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Rolové prístupy + auditné záznamy</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Preukázaný súlad s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Funguje to na mape?</w:t>
            </w:r>
          </w:p>
        </w:tc>
      </w:tr>
      <w:tr>
        <w:tc>
          <w:tcPr>
            <w:tcW w:type="dxa" w:w="567"/>
          </w:tcPr>
          <w:p>
            <w:r>
              <w:rPr>
                <w:b w:val="0"/>
                <w:i w:val="0"/>
                <w:sz w:val="17"/>
              </w:rPr>
              <w:t>7.1</w:t>
            </w:r>
          </w:p>
        </w:tc>
        <w:tc>
          <w:tcPr>
            <w:tcW w:type="dxa" w:w="2608"/>
          </w:tcPr>
          <w:p>
            <w:r>
              <w:rPr>
                <w:b w:val="0"/>
                <w:i w:val="0"/>
                <w:sz w:val="17"/>
              </w:rPr>
              <w:t>Štandardné rozhrania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Otvorené geopriestorové formáty</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Uvedený súradnicový systém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Trvalé identifikátory na priestorových objektoch (pozri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Môže naše dvojča rásť?</w:t>
            </w:r>
          </w:p>
        </w:tc>
      </w:tr>
      <w:tr>
        <w:tc>
          <w:tcPr>
            <w:tcW w:type="dxa" w:w="567"/>
          </w:tcPr>
          <w:p>
            <w:r>
              <w:rPr>
                <w:b w:val="0"/>
                <w:i w:val="0"/>
                <w:sz w:val="17"/>
              </w:rPr>
              <w:t>8.1</w:t>
            </w:r>
          </w:p>
        </w:tc>
        <w:tc>
          <w:tcPr>
            <w:tcW w:type="dxa" w:w="2608"/>
          </w:tcPr>
          <w:p>
            <w:r>
              <w:rPr>
                <w:b w:val="0"/>
                <w:i w:val="0"/>
                <w:sz w:val="17"/>
              </w:rPr>
              <w:t>Údaje a výstupy dvojčaťa cez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Modely zdokumentované a volateľné</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Štandardné výstupné formáty</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Zaznamenaný pôvod výsledkov</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Prierezové zmluvné klauzuly   Uchádzač potvrdzuje prijatie zmluvnej podmienky (S / N).</w:t>
            </w:r>
          </w:p>
        </w:tc>
      </w:tr>
      <w:tr>
        <w:tc>
          <w:tcPr>
            <w:tcW w:type="dxa" w:w="567"/>
          </w:tcPr>
          <w:p>
            <w:r>
              <w:rPr>
                <w:b w:val="0"/>
                <w:i w:val="0"/>
                <w:sz w:val="17"/>
              </w:rPr>
              <w:t>X.1</w:t>
            </w:r>
          </w:p>
        </w:tc>
        <w:tc>
          <w:tcPr>
            <w:tcW w:type="dxa" w:w="2608"/>
          </w:tcPr>
          <w:p>
            <w:r>
              <w:rPr>
                <w:b w:val="0"/>
                <w:i w:val="0"/>
                <w:sz w:val="17"/>
              </w:rPr>
              <w:t>Exitová stratégia: bezodplatné odovzdanie v otvorených formátoch</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Práva k údajom patria verejnému obstarávateľovi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Žiadne poplatky za vlastné údaje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Stabilita API: verzie, 6 mesiacov na oznámenie zmien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Skrátené názvy zastupujú plné položky na stranách MIMs; v prípade pochybností platí plné znenie.</w:t>
      </w:r>
    </w:p>
    <w:p>
      <w:pPr>
        <w:spacing w:before="40" w:after="80"/>
      </w:pPr>
      <w:r>
        <w:rPr>
          <w:b w:val="0"/>
          <w:i w:val="0"/>
          <w:color w:val="646B82"/>
          <w:sz w:val="17"/>
        </w:rPr>
        <w:t>Tabuľku v editovateľnej podobe nájdete na: https://www.joinedcontext.com/mims/</w:t>
      </w:r>
    </w:p>
    <w:p>
      <w:r>
        <w:br w:type="page"/>
      </w:r>
    </w:p>
    <w:p>
      <w:pPr>
        <w:spacing w:before="120" w:after="160"/>
      </w:pPr>
      <w:r>
        <w:rPr>
          <w:b/>
          <w:i w:val="0"/>
          <w:color w:val="2F3F9E"/>
          <w:sz w:val="36"/>
        </w:rPr>
        <w:t>Malý slovník</w:t>
      </w:r>
    </w:p>
    <w:p>
      <w:pPr>
        <w:spacing w:before="40" w:after="120"/>
      </w:pPr>
      <w:r>
        <w:rPr>
          <w:b/>
          <w:i w:val="0"/>
          <w:color w:val="2F3F9E"/>
          <w:sz w:val="20"/>
        </w:rPr>
        <w:t xml:space="preserve">API  —  </w:t>
      </w:r>
      <w:r>
        <w:rPr>
          <w:b w:val="0"/>
          <w:i w:val="0"/>
          <w:sz w:val="20"/>
        </w:rPr>
        <w:t>Rozhranie, cez ktoré si jeden program pýta údaje od druhého: cez web, bez zásahu človeka.</w:t>
      </w:r>
    </w:p>
    <w:p>
      <w:pPr>
        <w:spacing w:before="40" w:after="120"/>
      </w:pPr>
      <w:r>
        <w:rPr>
          <w:b/>
          <w:i w:val="0"/>
          <w:color w:val="2F3F9E"/>
          <w:sz w:val="20"/>
        </w:rPr>
        <w:t xml:space="preserve">Dátový model  —  </w:t>
      </w:r>
      <w:r>
        <w:rPr>
          <w:b w:val="0"/>
          <w:i w:val="0"/>
          <w:sz w:val="20"/>
        </w:rPr>
        <w:t>Dohodnutý tvar údajov: ktoré polia existujú, čo znamenajú, v akých jednotkách.</w:t>
      </w:r>
    </w:p>
    <w:p>
      <w:pPr>
        <w:spacing w:before="40" w:after="120"/>
      </w:pPr>
      <w:r>
        <w:rPr>
          <w:b/>
          <w:i w:val="0"/>
          <w:color w:val="2F3F9E"/>
          <w:sz w:val="20"/>
        </w:rPr>
        <w:t xml:space="preserve">DCAT-AP  —  </w:t>
      </w:r>
      <w:r>
        <w:rPr>
          <w:b w:val="0"/>
          <w:i w:val="0"/>
          <w:sz w:val="20"/>
        </w:rPr>
        <w:t>Európsky profil metadát pre katalógy údajov; vďaka nemu sa datasety dajú nájsť aj na národnom a európskom portáli.</w:t>
      </w:r>
    </w:p>
    <w:p>
      <w:pPr>
        <w:spacing w:before="40" w:after="120"/>
      </w:pPr>
      <w:r>
        <w:rPr>
          <w:b/>
          <w:i w:val="0"/>
          <w:color w:val="2F3F9E"/>
          <w:sz w:val="20"/>
        </w:rPr>
        <w:t xml:space="preserve">EPSG  —  </w:t>
      </w:r>
      <w:r>
        <w:rPr>
          <w:b w:val="0"/>
          <w:i w:val="0"/>
          <w:sz w:val="20"/>
        </w:rPr>
        <w:t>Register číselných kódov súradnicových systémov (napr. EPSG:4326 pre WGS 84).</w:t>
      </w:r>
    </w:p>
    <w:p>
      <w:pPr>
        <w:spacing w:before="40" w:after="120"/>
      </w:pPr>
      <w:r>
        <w:rPr>
          <w:b/>
          <w:i w:val="0"/>
          <w:color w:val="2F3F9E"/>
          <w:sz w:val="20"/>
        </w:rPr>
        <w:t xml:space="preserve">Identifikátor  —  </w:t>
      </w:r>
      <w:r>
        <w:rPr>
          <w:b w:val="0"/>
          <w:i w:val="0"/>
          <w:sz w:val="20"/>
        </w:rPr>
        <w:t>Trvalé meno jednej veci (jednej lampy, jednej budovy), ktorým ju označujú všetky systémy.</w:t>
      </w:r>
    </w:p>
    <w:p>
      <w:pPr>
        <w:spacing w:before="40" w:after="120"/>
      </w:pPr>
      <w:r>
        <w:rPr>
          <w:b/>
          <w:i w:val="0"/>
          <w:color w:val="2F3F9E"/>
          <w:sz w:val="20"/>
        </w:rPr>
        <w:t xml:space="preserve">Interoperabilita  —  </w:t>
      </w:r>
      <w:r>
        <w:rPr>
          <w:b w:val="0"/>
          <w:i w:val="0"/>
          <w:sz w:val="20"/>
        </w:rPr>
        <w:t>Schopnosť systémov rôznych dodávateľov vymieňať si údaje a rozumieť im.</w:t>
      </w:r>
    </w:p>
    <w:p>
      <w:pPr>
        <w:spacing w:before="40" w:after="120"/>
      </w:pPr>
      <w:r>
        <w:rPr>
          <w:b/>
          <w:i w:val="0"/>
          <w:color w:val="2F3F9E"/>
          <w:sz w:val="20"/>
        </w:rPr>
        <w:t xml:space="preserve">IRI  —  </w:t>
      </w:r>
      <w:r>
        <w:rPr>
          <w:b w:val="0"/>
          <w:i w:val="0"/>
          <w:sz w:val="20"/>
        </w:rPr>
        <w:t>Medzinárodný tvar webového identifikátora (ako URL, aj s diakritikou). MIM1 ním pomenúva entity.</w:t>
      </w:r>
    </w:p>
    <w:p>
      <w:pPr>
        <w:spacing w:before="40" w:after="120"/>
      </w:pPr>
      <w:r>
        <w:rPr>
          <w:b/>
          <w:i w:val="0"/>
          <w:color w:val="2F3F9E"/>
          <w:sz w:val="20"/>
        </w:rPr>
        <w:t xml:space="preserve">LDT  —  </w:t>
      </w:r>
      <w:r>
        <w:rPr>
          <w:b w:val="0"/>
          <w:i w:val="0"/>
          <w:sz w:val="20"/>
        </w:rPr>
        <w:t>Lokálne digitálne dvojča (Local Digital Twin): digitálny model mesta alebo jeho časti, prepojený s údajmi a simuláciami.</w:t>
      </w:r>
    </w:p>
    <w:p>
      <w:pPr>
        <w:spacing w:before="40" w:after="120"/>
      </w:pPr>
      <w:r>
        <w:rPr>
          <w:b/>
          <w:i w:val="0"/>
          <w:color w:val="2F3F9E"/>
          <w:sz w:val="20"/>
        </w:rPr>
        <w:t xml:space="preserve">Metadáta  —  </w:t>
      </w:r>
      <w:r>
        <w:rPr>
          <w:b w:val="0"/>
          <w:i w:val="0"/>
          <w:sz w:val="20"/>
        </w:rPr>
        <w:t>Údaje o údajoch: čo dataset obsahuje, kto ho poskytuje, nakoľko je aktuálny, pod akou licenciou.</w:t>
      </w:r>
    </w:p>
    <w:p>
      <w:pPr>
        <w:spacing w:before="40" w:after="120"/>
      </w:pPr>
      <w:r>
        <w:rPr>
          <w:b/>
          <w:i w:val="0"/>
          <w:color w:val="2F3F9E"/>
          <w:sz w:val="20"/>
        </w:rPr>
        <w:t xml:space="preserve">OAuth 2.0 / OIDC  —  </w:t>
      </w:r>
      <w:r>
        <w:rPr>
          <w:b w:val="0"/>
          <w:i w:val="0"/>
          <w:sz w:val="20"/>
        </w:rPr>
        <w:t>Otvorené štandardy na prihlasovanie a udeľovanie prístupu. OpenID Connect (OIDC) pridáva k OAuth 2.0 overenie identity.</w:t>
      </w:r>
    </w:p>
    <w:p>
      <w:pPr>
        <w:spacing w:before="40" w:after="120"/>
      </w:pPr>
      <w:r>
        <w:rPr>
          <w:b/>
          <w:i w:val="0"/>
          <w:color w:val="2F3F9E"/>
          <w:sz w:val="20"/>
        </w:rPr>
        <w:t xml:space="preserve">OGC  —  </w:t>
      </w:r>
      <w:r>
        <w:rPr>
          <w:b w:val="0"/>
          <w:i w:val="0"/>
          <w:sz w:val="20"/>
        </w:rPr>
        <w:t>Open Geospatial Consortium: organizácia, ktorá vydáva štandardy pre geopriestorové údaje a služby (OGC API, WFS, SensorThings).</w:t>
      </w:r>
    </w:p>
    <w:p>
      <w:pPr>
        <w:spacing w:before="40" w:after="120"/>
      </w:pPr>
      <w:r>
        <w:rPr>
          <w:b/>
          <w:i w:val="0"/>
          <w:color w:val="2F3F9E"/>
          <w:sz w:val="20"/>
        </w:rPr>
        <w:t xml:space="preserve">OpenAPI  —  </w:t>
      </w:r>
      <w:r>
        <w:rPr>
          <w:b w:val="0"/>
          <w:i w:val="0"/>
          <w:sz w:val="20"/>
        </w:rPr>
        <w:t>Otvorený formát strojovo čitateľného opisu webového API: adresy, parametre, odpovede.</w:t>
      </w:r>
    </w:p>
    <w:p>
      <w:pPr>
        <w:spacing w:before="40" w:after="120"/>
      </w:pPr>
      <w:r>
        <w:rPr>
          <w:b/>
          <w:i w:val="0"/>
          <w:color w:val="2F3F9E"/>
          <w:sz w:val="20"/>
        </w:rPr>
        <w:t xml:space="preserve">Otvorený štandard  —  </w:t>
      </w:r>
      <w:r>
        <w:rPr>
          <w:b w:val="0"/>
          <w:i w:val="0"/>
          <w:sz w:val="20"/>
        </w:rPr>
        <w:t>Technické pravidlo, ktoré si každý môže prečítať a implementovať bez poplatkov a bez osobitného povolenia.</w:t>
      </w:r>
    </w:p>
    <w:p>
      <w:pPr>
        <w:spacing w:before="40" w:after="120"/>
      </w:pPr>
      <w:r>
        <w:rPr>
          <w:b/>
          <w:i w:val="0"/>
          <w:color w:val="2F3F9E"/>
          <w:sz w:val="20"/>
        </w:rPr>
        <w:t xml:space="preserve">Serializácia  —  </w:t>
      </w:r>
      <w:r>
        <w:rPr>
          <w:b w:val="0"/>
          <w:i w:val="0"/>
          <w:sz w:val="20"/>
        </w:rPr>
        <w:t>Zápis údajov do konkrétneho formátu (napr. JSON, XML), aby sa dali uložiť alebo poslať.</w:t>
      </w:r>
    </w:p>
    <w:p>
      <w:pPr>
        <w:spacing w:before="40" w:after="120"/>
      </w:pPr>
      <w:r>
        <w:rPr>
          <w:b/>
          <w:i w:val="0"/>
          <w:color w:val="2F3F9E"/>
          <w:sz w:val="20"/>
        </w:rPr>
        <w:t xml:space="preserve">Strojovo čitateľné  —  </w:t>
      </w:r>
      <w:r>
        <w:rPr>
          <w:b w:val="0"/>
          <w:i w:val="0"/>
          <w:sz w:val="20"/>
        </w:rPr>
        <w:t>Štruktúrované tak, že to program spracuje priamo (JSON, CSV). PDF s tabuľkou také nie je.</w:t>
      </w:r>
    </w:p>
    <w:p>
      <w:pPr>
        <w:spacing w:before="40" w:after="120"/>
      </w:pPr>
      <w:r>
        <w:rPr>
          <w:b/>
          <w:i w:val="0"/>
          <w:color w:val="2F3F9E"/>
          <w:sz w:val="20"/>
        </w:rPr>
        <w:t xml:space="preserve">TLS  —  </w:t>
      </w:r>
      <w:r>
        <w:rPr>
          <w:b w:val="0"/>
          <w:i w:val="0"/>
          <w:sz w:val="20"/>
        </w:rPr>
        <w:t>Protokol, ktorý šifruje prenos údajov po sieti (základ HTTPS).</w:t>
      </w:r>
    </w:p>
    <w:p>
      <w:pPr>
        <w:spacing w:before="40" w:after="120"/>
      </w:pPr>
      <w:r>
        <w:rPr>
          <w:b/>
          <w:i w:val="0"/>
          <w:color w:val="2F3F9E"/>
          <w:sz w:val="20"/>
        </w:rPr>
        <w:t xml:space="preserve">Webhook / MQTT  —  </w:t>
      </w:r>
      <w:r>
        <w:rPr>
          <w:b w:val="0"/>
          <w:i w:val="0"/>
          <w:sz w:val="20"/>
        </w:rPr>
        <w:t>Dva spôsoby, ako systém sám oznámi zmenu: webhook zavolá vašu adresu, MQTT doručuje správy odberateľom.</w:t>
      </w:r>
    </w:p>
    <w:p>
      <w:pPr>
        <w:spacing w:before="40" w:after="120"/>
      </w:pPr>
      <w:r>
        <w:rPr>
          <w:b/>
          <w:i w:val="0"/>
          <w:color w:val="2F3F9E"/>
          <w:sz w:val="20"/>
        </w:rPr>
        <w:t xml:space="preserve">Závislosť od dodávateľa (vendor lock-in)  —  </w:t>
      </w:r>
      <w:r>
        <w:rPr>
          <w:b w:val="0"/>
          <w:i w:val="0"/>
          <w:sz w:val="20"/>
        </w:rPr>
        <w:t>Stav, keď je zmena dodávateľa pre náklady spojené s údajmi, formátmi alebo poplatkami prakticky nemožná.</w:t>
      </w:r>
    </w:p>
    <w:p>
      <w:pPr>
        <w:spacing w:before="240" w:after="120"/>
      </w:pPr>
      <w:r>
        <w:rPr>
          <w:b/>
          <w:i w:val="0"/>
          <w:color w:val="0B7485"/>
          <w:sz w:val="24"/>
        </w:rPr>
        <w:t>Kde sa dozvedieť viac</w:t>
      </w:r>
    </w:p>
    <w:p>
      <w:pPr>
        <w:spacing w:before="40" w:after="100"/>
      </w:pPr>
      <w:hyperlink r:id="rId20">
        <w:r>
          <w:rPr>
            <w:color w:val="2F3F9E"/>
            <w:u w:val="single"/>
            <w:sz w:val="20"/>
          </w:rPr>
          <w:t>mims.oascities.org</w:t>
        </w:r>
      </w:hyperlink>
      <w:r>
        <w:rPr>
          <w:b w:val="0"/>
          <w:i w:val="0"/>
          <w:sz w:val="20"/>
        </w:rPr>
        <w:t xml:space="preserve">  —  Úplná špecifikácia MIMs Plus, ktorú spravuje OASC.</w:t>
      </w:r>
    </w:p>
    <w:p>
      <w:pPr>
        <w:spacing w:before="40" w:after="100"/>
      </w:pPr>
      <w:hyperlink r:id="rId21">
        <w:r>
          <w:rPr>
            <w:color w:val="2F3F9E"/>
            <w:u w:val="single"/>
            <w:sz w:val="20"/>
          </w:rPr>
          <w:t>living-in.eu</w:t>
        </w:r>
      </w:hyperlink>
      <w:r>
        <w:rPr>
          <w:b w:val="0"/>
          <w:i w:val="0"/>
          <w:sz w:val="20"/>
        </w:rPr>
        <w:t xml:space="preserve">  —  Európske hnutie za digitálnu transformáciu miest: deklarácia a kontext MIMs Plus.</w:t>
      </w:r>
    </w:p>
    <w:p>
      <w:pPr>
        <w:spacing w:before="40" w:after="100"/>
      </w:pPr>
      <w:hyperlink r:id="rId22">
        <w:r>
          <w:rPr>
            <w:color w:val="2F3F9E"/>
            <w:u w:val="single"/>
            <w:sz w:val="20"/>
          </w:rPr>
          <w:t>smartdatamodels.org</w:t>
        </w:r>
      </w:hyperlink>
      <w:r>
        <w:rPr>
          <w:b w:val="0"/>
          <w:i w:val="0"/>
          <w:sz w:val="20"/>
        </w:rPr>
        <w:t xml:space="preserve">  —  Otvorená knižnica štandardných dátových modelov (FIWARE, TM Forum, IUDX, OASC).</w:t>
      </w:r>
    </w:p>
    <w:p>
      <w:pPr>
        <w:spacing w:before="40" w:after="100"/>
      </w:pPr>
      <w:hyperlink r:id="rId23">
        <w:r>
          <w:rPr>
            <w:color w:val="2F3F9E"/>
            <w:u w:val="single"/>
            <w:sz w:val="20"/>
          </w:rPr>
          <w:t>oascities.org/academy</w:t>
        </w:r>
      </w:hyperlink>
      <w:r>
        <w:rPr>
          <w:b w:val="0"/>
          <w:i w:val="0"/>
          <w:sz w:val="20"/>
        </w:rPr>
        <w:t xml:space="preserve">  —  CITYxCITY Academy: kurzy pre zamestnancov miest, od miest.</w:t>
      </w:r>
    </w:p>
    <w:p>
      <w:r>
        <w:br w:type="page"/>
      </w:r>
    </w:p>
    <w:p>
      <w:pPr>
        <w:spacing w:before="480" w:after="80"/>
        <w:jc w:val="center"/>
      </w:pPr>
      <w:r>
        <w:rPr>
          <w:b w:val="0"/>
          <w:i w:val="0"/>
          <w:color w:val="646B82"/>
          <w:sz w:val="18"/>
        </w:rPr>
        <w:t>Zostavené zo špecifikácie MIMs Plus 9.0 siete Open &amp; Agile Smart Cities (mims.oascities.org). Obsah špecifikácie © OASC. Táto brožúra je nezávislý zrozumiteľný sprievodca pre verejné obstarávanie samospráv; v prípade pochybností platí špecifikácia.</w:t>
      </w:r>
    </w:p>
    <w:p>
      <w:pPr>
        <w:spacing w:before="40" w:after="80"/>
        <w:jc w:val="center"/>
      </w:pPr>
      <w:r>
        <w:rPr>
          <w:b w:val="0"/>
          <w:i w:val="0"/>
          <w:color w:val="0B7485"/>
          <w:sz w:val="18"/>
        </w:rPr>
        <w:t>Vytvorené otvorenými nástrojmi. Voľne používajte a prispôsobte pre svoje mesto.</w:t>
      </w:r>
    </w:p>
    <w:p>
      <w:pPr>
        <w:spacing w:before="40" w:after="80"/>
        <w:jc w:val="center"/>
      </w:pPr>
      <w:r>
        <w:rPr>
          <w:b w:val="0"/>
          <w:i w:val="0"/>
          <w:color w:val="646B82"/>
          <w:sz w:val="17"/>
        </w:rPr>
        <w:t>Autor brožúry: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Minimálne mechanizmy interoperability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Minimálne mechanizmy interoperability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