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Meccanismi Minimi di Interoperabilità (MIM)</w:t>
      </w:r>
    </w:p>
    <w:p>
      <w:pPr>
        <w:spacing w:before="40" w:after="320"/>
        <w:jc w:val="center"/>
      </w:pPr>
      <w:r>
        <w:rPr>
          <w:b/>
          <w:i w:val="0"/>
          <w:color w:val="0B7485"/>
          <w:sz w:val="30"/>
        </w:rPr>
        <w:t>Cosa specificare nei documenti di gara affinché il comune mantenga il controllo dei propri dati</w:t>
      </w:r>
    </w:p>
    <w:p>
      <w:pPr>
        <w:spacing w:before="40" w:after="120"/>
        <w:jc w:val="center"/>
      </w:pPr>
      <w:r>
        <w:rPr>
          <w:b w:val="0"/>
          <w:i w:val="0"/>
          <w:color w:val="646B82"/>
          <w:sz w:val="22"/>
        </w:rPr>
        <w:t>Specifica: MIMs Plus 9.0 di OASC</w:t>
      </w:r>
    </w:p>
    <w:p>
      <w:pPr>
        <w:spacing w:before="40" w:after="80"/>
        <w:jc w:val="center"/>
      </w:pPr>
      <w:r>
        <w:rPr>
          <w:b w:val="0"/>
          <w:i w:val="0"/>
          <w:color w:val="646B82"/>
          <w:sz w:val="18"/>
        </w:rPr>
        <w:t>Per responsabili degli appalti, responsabili di progetto e responsabili IT dei comuni europei</w:t>
      </w:r>
    </w:p>
    <w:p>
      <w:pPr>
        <w:spacing w:before="40" w:after="80"/>
        <w:jc w:val="center"/>
      </w:pPr>
      <w:r>
        <w:rPr>
          <w:b w:val="0"/>
          <w:i w:val="0"/>
          <w:color w:val="646B82"/>
          <w:sz w:val="17"/>
        </w:rPr>
        <w:t>Autore della guida: Marek Mráz</w:t>
      </w:r>
    </w:p>
    <w:p>
      <w:r>
        <w:br w:type="page"/>
      </w:r>
    </w:p>
    <w:p>
      <w:pPr>
        <w:spacing w:before="120" w:after="160"/>
      </w:pPr>
      <w:r>
        <w:rPr>
          <w:b/>
          <w:i w:val="0"/>
          <w:color w:val="2F3F9E"/>
          <w:sz w:val="36"/>
        </w:rPr>
        <w:t>Scopo di questa guida</w:t>
      </w:r>
    </w:p>
    <w:p>
      <w:pPr>
        <w:spacing w:before="40" w:after="160"/>
      </w:pPr>
      <w:r>
        <w:rPr>
          <w:b w:val="0"/>
          <w:i w:val="0"/>
          <w:sz w:val="21"/>
        </w:rPr>
        <w:t>Ogni anno le città acquistano software: sistemi di sosta, piattaforme di sensori, portali cartografici, gemelli digitali. Troppo spesso i dati raccolti da questi sistemi finiscono per rimanervi bloccati all'interno. Al termine del contratto i dati — pagati con fondi pubblici — se ne vanno con il fornitore, oppure restano intrappolati in un formato illeggibile per chiunque altro.</w:t>
      </w:r>
    </w:p>
    <w:p>
      <w:pPr>
        <w:spacing w:before="40" w:after="160"/>
      </w:pPr>
      <w:r>
        <w:rPr>
          <w:b w:val="0"/>
          <w:i w:val="0"/>
          <w:sz w:val="21"/>
        </w:rPr>
        <w:t>Non deve necessariamente andare così. I Meccanismi Minimi di Interoperabilità (MIM), gestiti da Open &amp; Agile Smart Cities (OASC) e approvati dal movimento europeo living-in.eu, descrivono i requisiti tecnici minimi che mantengono i dati aperti, riutilizzabili e neutrali rispetto ai fornitori. Sono volutamente essenziali: non una grande architettura, ma solo le poche condizioni che devono valere affinché i sistemi possano scambiarsi dati.</w:t>
      </w:r>
    </w:p>
    <w:p>
      <w:pPr>
        <w:spacing w:before="40" w:after="160"/>
      </w:pPr>
      <w:r>
        <w:rPr>
          <w:b w:val="0"/>
          <w:i w:val="0"/>
          <w:sz w:val="21"/>
        </w:rPr>
        <w:t>Non sono richieste competenze tecniche per usare questa guida. Ciascuna checklist traduce un MIM in voci chiare e pratiche da copiare in una gara, indicando il motivo per cui ciascuna tutela l'ente. Subito dopo la checklist si trova ogni singolo requisito del MIM, parola per parola, affinché i colleghi tecnici e gli offerenti possano verificarne i dettagli.</w:t>
      </w:r>
    </w:p>
    <w:p>
      <w:pPr>
        <w:spacing w:before="40" w:after="160"/>
      </w:pPr>
      <w:r>
        <w:rPr>
          <w:b w:val="0"/>
          <w:i w:val="0"/>
          <w:sz w:val="21"/>
        </w:rPr>
        <w:t>Le città che richiedono i MIM acquistano una volta sola e riutilizzano molte volte: i dati sulla qualità dell'aria alimentano la dashboard delle scuole, l'inventario dell'illuminazione pubblica alimenta il piano energetico e il fornitore successivo riparte da dove il precedente ha concluso. Ecco cosa significa interoperabilità nella pratica — un requisito sempre più atteso nei progetti finanziati dall'UE.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“I meccanismi minimi di interoperabilità (MIM) consentono un livello minimo ma sufficiente di interoperabilità per dati, sistemi e servizi, nello specifico nell'ambito delle soluzioni per le città intelligenti.</w:t>
              <w:br/>
              <w:t>I destinatari previsti di questo documento sono:</w:t>
              <w:br/>
              <w:t>1. Fornitori di soluzioni che desiderano garantire che le proprie soluzioni siano interoperabili con altre e permettano uno scambio fluido di dati nel contesto di Città e Comunità Intelligenti.</w:t>
              <w:br/>
              <w:t>2. Acquirenti pubblici che intendono acquistare soluzioni a prova di futuro e consentire un'integrazione economicamente vantaggiosa all'interno di un'architettura ICT preesistente per Città e Comunità Intelligenti.”</w:t>
            </w:r>
          </w:p>
        </w:tc>
      </w:tr>
    </w:tbl>
    <w:p>
      <w:pPr>
        <w:spacing w:before="240" w:after="60"/>
      </w:pPr>
      <w:r>
        <w:rPr>
          <w:b/>
          <w:i w:val="0"/>
          <w:color w:val="2F3F9E"/>
          <w:sz w:val="22"/>
        </w:rPr>
        <w:t>Come i MIM si integrano con il diritto dell’UE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I MIM sono una specifica tecnica, non una legge. Si muovono nella stessa direzione delle norme UE già applicabili a dati pubblici e servizi digitali:</w:t>
            </w:r>
          </w:p>
          <w:p>
            <w:pPr>
              <w:spacing w:before="20" w:after="60"/>
            </w:pPr>
            <w:r>
              <w:rPr>
                <w:b/>
                <w:i w:val="0"/>
                <w:color w:val="2F3F9E"/>
                <w:sz w:val="19"/>
              </w:rPr>
              <w:t>Direttiva sugli appalti pubblici</w:t>
            </w:r>
            <w:r>
              <w:rPr>
                <w:b w:val="0"/>
                <w:i w:val="0"/>
                <w:color w:val="646B82"/>
                <w:sz w:val="17"/>
              </w:rPr>
              <w:t xml:space="preserve"> (Direttiva 2014/24/UE, Articolo 42): </w:t>
            </w:r>
            <w:r>
              <w:rPr>
                <w:b w:val="0"/>
                <w:i w:val="0"/>
                <w:sz w:val="19"/>
              </w:rPr>
              <w:t>le specifiche tecniche possono fare riferimento a norme, sempre con la dicitura «o equivalente»; di norma non possono menzionare una fabbricazione o un prodotto specifici.</w:t>
            </w:r>
          </w:p>
          <w:p>
            <w:pPr>
              <w:spacing w:before="20" w:after="60"/>
            </w:pPr>
            <w:r>
              <w:rPr>
                <w:b/>
                <w:i w:val="0"/>
                <w:color w:val="2F3F9E"/>
                <w:sz w:val="19"/>
              </w:rPr>
              <w:t>Data Act</w:t>
            </w:r>
            <w:r>
              <w:rPr>
                <w:b w:val="0"/>
                <w:i w:val="0"/>
                <w:color w:val="646B82"/>
                <w:sz w:val="17"/>
              </w:rPr>
              <w:t xml:space="preserve"> (Regolamento (UE) 2023/2854): </w:t>
            </w:r>
            <w:r>
              <w:rPr>
                <w:b w:val="0"/>
                <w:i w:val="0"/>
                <w:sz w:val="19"/>
              </w:rPr>
              <w:t>accesso ai dati dei prodotti connessi e passaggio da un fornitore di servizi cloud all'altro senza vincoli (lock-in).</w:t>
            </w:r>
          </w:p>
          <w:p>
            <w:pPr>
              <w:spacing w:before="20" w:after="60"/>
            </w:pPr>
            <w:r>
              <w:rPr>
                <w:b/>
                <w:i w:val="0"/>
                <w:color w:val="2F3F9E"/>
                <w:sz w:val="19"/>
              </w:rPr>
              <w:t>Interoperable Europe Act</w:t>
            </w:r>
            <w:r>
              <w:rPr>
                <w:b w:val="0"/>
                <w:i w:val="0"/>
                <w:color w:val="646B82"/>
                <w:sz w:val="17"/>
              </w:rPr>
              <w:t xml:space="preserve"> (Regolamento (UE) 2024/903): </w:t>
            </w:r>
            <w:r>
              <w:rPr>
                <w:b w:val="0"/>
                <w:i w:val="0"/>
                <w:sz w:val="19"/>
              </w:rPr>
              <w:t>valutazioni dell'interoperabilità per i servizi pubblici digitali transfrontalieri e riutilizzo di soluzioni aperte.</w:t>
            </w:r>
          </w:p>
          <w:p>
            <w:pPr>
              <w:spacing w:before="20" w:after="60"/>
            </w:pPr>
            <w:r>
              <w:rPr>
                <w:b/>
                <w:i w:val="0"/>
                <w:color w:val="2F3F9E"/>
                <w:sz w:val="19"/>
              </w:rPr>
              <w:t>Direttiva Open Data</w:t>
            </w:r>
            <w:r>
              <w:rPr>
                <w:b w:val="0"/>
                <w:i w:val="0"/>
                <w:color w:val="646B82"/>
                <w:sz w:val="17"/>
              </w:rPr>
              <w:t xml:space="preserve"> (Direttiva (UE) 2019/1024): </w:t>
            </w:r>
            <w:r>
              <w:rPr>
                <w:b w:val="0"/>
                <w:i w:val="0"/>
                <w:sz w:val="19"/>
              </w:rPr>
              <w:t>serie di dati di elevato valore pubblicate gratuitamente, in formato leggibile meccanicamente, mediante API.</w:t>
            </w:r>
          </w:p>
          <w:p>
            <w:pPr>
              <w:spacing w:before="20" w:after="60"/>
            </w:pPr>
            <w:r>
              <w:rPr>
                <w:b/>
                <w:i w:val="0"/>
                <w:color w:val="2F3F9E"/>
                <w:sz w:val="19"/>
              </w:rPr>
              <w:t>Direttiva NIS 2</w:t>
            </w:r>
            <w:r>
              <w:rPr>
                <w:b w:val="0"/>
                <w:i w:val="0"/>
                <w:color w:val="646B82"/>
                <w:sz w:val="17"/>
              </w:rPr>
              <w:t xml:space="preserve"> (Direttiva (UE) 2022/2555): </w:t>
            </w:r>
            <w:r>
              <w:rPr>
                <w:b w:val="0"/>
                <w:i w:val="0"/>
                <w:sz w:val="19"/>
              </w:rPr>
              <w:t>livello di base per la cibersicurezza; il diritto nazionale stabilisce in che misura si applica alla pubblica amministrazione locale.</w:t>
            </w:r>
          </w:p>
          <w:p>
            <w:pPr>
              <w:spacing w:before="20" w:after="60"/>
            </w:pPr>
            <w:r>
              <w:rPr>
                <w:b/>
                <w:i w:val="0"/>
                <w:color w:val="2F3F9E"/>
                <w:sz w:val="19"/>
              </w:rPr>
              <w:t>GDPR</w:t>
            </w:r>
            <w:r>
              <w:rPr>
                <w:b w:val="0"/>
                <w:i w:val="0"/>
                <w:color w:val="646B82"/>
                <w:sz w:val="17"/>
              </w:rPr>
              <w:t xml:space="preserve"> (Regolamento (UE) 2016/679): </w:t>
            </w:r>
            <w:r>
              <w:rPr>
                <w:b w:val="0"/>
                <w:i w:val="0"/>
                <w:sz w:val="19"/>
              </w:rPr>
              <w:t>dati personali nei sistemi cittadini (sosta, telecamere, mobilità).</w:t>
            </w:r>
          </w:p>
          <w:p>
            <w:pPr>
              <w:spacing w:before="20" w:after="60"/>
            </w:pPr>
            <w:r>
              <w:rPr>
                <w:b/>
                <w:i w:val="0"/>
                <w:color w:val="2F3F9E"/>
                <w:sz w:val="19"/>
              </w:rPr>
              <w:t>AI Act</w:t>
            </w:r>
            <w:r>
              <w:rPr>
                <w:b w:val="0"/>
                <w:i w:val="0"/>
                <w:color w:val="646B82"/>
                <w:sz w:val="17"/>
              </w:rPr>
              <w:t xml:space="preserve"> (Regolamento (UE) 2024/1689): </w:t>
            </w:r>
            <w:r>
              <w:rPr>
                <w:b w:val="0"/>
                <w:i w:val="0"/>
                <w:sz w:val="19"/>
              </w:rPr>
              <w:t>regole per i sistemi di intelligenza artificiale; rilevante per i modelli di IA nei gemelli digitali.</w:t>
            </w:r>
          </w:p>
          <w:p>
            <w:pPr>
              <w:spacing w:before="20" w:after="60"/>
            </w:pPr>
            <w:r>
              <w:rPr>
                <w:b w:val="0"/>
                <w:i/>
                <w:color w:val="646B82"/>
                <w:sz w:val="17"/>
              </w:rPr>
              <w:t>A solo scopo orientativo. Verificare come il proprio Paese ha recepito ciascun atto.</w:t>
            </w:r>
          </w:p>
        </w:tc>
      </w:tr>
    </w:tbl>
    <w:p>
      <w:r>
        <w:br w:type="page"/>
      </w:r>
    </w:p>
    <w:p>
      <w:pPr>
        <w:spacing w:before="120" w:after="160"/>
      </w:pPr>
      <w:r>
        <w:rPr>
          <w:b/>
          <w:i w:val="0"/>
          <w:color w:val="2F3F9E"/>
          <w:sz w:val="36"/>
        </w:rPr>
        <w:t>Come usare questa guida</w:t>
      </w:r>
    </w:p>
    <w:p>
      <w:pPr>
        <w:spacing w:before="40" w:after="120"/>
      </w:pPr>
      <w:r>
        <w:rPr>
          <w:b/>
          <w:i w:val="0"/>
          <w:color w:val="2F3F9E"/>
          <w:sz w:val="22"/>
        </w:rPr>
        <w:t xml:space="preserve">1. Preparare  </w:t>
      </w:r>
      <w:r>
        <w:rPr>
          <w:b w:val="0"/>
          <w:i w:val="0"/>
          <w:sz w:val="20"/>
        </w:rPr>
        <w:t>Leggere le sette checklist. Selezionare quelle pertinenti all'oggetto dell'acquisto. La maggior parte delle gare richiede MIM0, MIM1, MIM2 e MIM6; aggiungere MIM3 se i dati sono condivisi con terzi o su un portale dati, MIM7 per mappe, MIM8 per gemelli digitali.</w:t>
      </w:r>
    </w:p>
    <w:p>
      <w:pPr>
        <w:spacing w:before="40" w:after="120"/>
      </w:pPr>
      <w:r>
        <w:rPr>
          <w:b/>
          <w:i w:val="0"/>
          <w:color w:val="2F3F9E"/>
          <w:sz w:val="22"/>
        </w:rPr>
        <w:t xml:space="preserve">2. Appaltare  </w:t>
      </w:r>
      <w:r>
        <w:rPr>
          <w:b w:val="0"/>
          <w:i w:val="0"/>
          <w:sz w:val="20"/>
        </w:rPr>
        <w:t>Copiare le voci selezionate della checklist nelle specifiche tecniche. Ciascuna voce è formulata come frase pronta da incollare. Aggiungere le clausole trasversali: costano poco ed evitano il lock-in.</w:t>
      </w:r>
    </w:p>
    <w:p>
      <w:pPr>
        <w:spacing w:before="40" w:after="120"/>
      </w:pPr>
      <w:r>
        <w:rPr>
          <w:b/>
          <w:i w:val="0"/>
          <w:color w:val="2F3F9E"/>
          <w:sz w:val="22"/>
        </w:rPr>
        <w:t xml:space="preserve">3. Valutare  </w:t>
      </w:r>
      <w:r>
        <w:rPr>
          <w:b w:val="0"/>
          <w:i w:val="0"/>
          <w:sz w:val="20"/>
        </w:rPr>
        <w:t>Chiedere agli offerenti di dimostrare, non promettere (si veda la clausola omonima). Verificare la conformità sulla base della tabella di conformità compilata dall'offerente.</w:t>
      </w:r>
    </w:p>
    <w:p>
      <w:pPr>
        <w:spacing w:before="40" w:after="120"/>
      </w:pPr>
      <w:r>
        <w:rPr>
          <w:b/>
          <w:i w:val="0"/>
          <w:color w:val="2F3F9E"/>
          <w:sz w:val="22"/>
        </w:rPr>
        <w:t xml:space="preserve">4. Collaudare  </w:t>
      </w:r>
      <w:r>
        <w:rPr>
          <w:b w:val="0"/>
          <w:i w:val="0"/>
          <w:sz w:val="20"/>
        </w:rPr>
        <w:t>Al momento del collaudo, riverificare ogni voce selezionata. Un requisito non testato alla consegna non è mai stato davvero un requisito.</w:t>
      </w:r>
    </w:p>
    <w:p>
      <w:pPr>
        <w:spacing w:before="200" w:after="80"/>
      </w:pPr>
      <w:r>
        <w:rPr>
          <w:b/>
          <w:i w:val="0"/>
          <w:color w:val="0B7485"/>
          <w:sz w:val="22"/>
        </w:rPr>
        <w:t>Come leggere le citazioni della specifica</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DEVE, DEVONO (SHALL / MUST)</w:t>
            </w:r>
            <w:r>
              <w:rPr>
                <w:b w:val="0"/>
                <w:i w:val="0"/>
                <w:sz w:val="19"/>
              </w:rPr>
              <w:t xml:space="preserve">  obbligatorio. Senza di esso il sistema non è conforme.</w:t>
            </w:r>
          </w:p>
          <w:p>
            <w:pPr>
              <w:spacing w:before="20" w:after="60"/>
            </w:pPr>
            <w:r>
              <w:rPr>
                <w:b/>
                <w:i w:val="0"/>
                <w:color w:val="2F3F9E"/>
                <w:sz w:val="19"/>
              </w:rPr>
              <w:t xml:space="preserve">•  </w:t>
            </w:r>
            <w:r>
              <w:rPr>
                <w:b/>
                <w:i w:val="0"/>
                <w:color w:val="2F3F9E"/>
                <w:sz w:val="19"/>
                <w:highlight w:val="yellow"/>
              </w:rPr>
              <w:t>NON DEVE, NON DEVONO (MUST NOT)</w:t>
            </w:r>
            <w:r>
              <w:rPr>
                <w:b w:val="0"/>
                <w:i w:val="0"/>
                <w:sz w:val="19"/>
              </w:rPr>
              <w:t xml:space="preserve">  vietato. Un sistema che lo fa non è conforme.</w:t>
            </w:r>
          </w:p>
          <w:p>
            <w:pPr>
              <w:spacing w:before="20" w:after="60"/>
            </w:pPr>
            <w:r>
              <w:rPr>
                <w:b/>
                <w:i w:val="0"/>
                <w:color w:val="2F3F9E"/>
                <w:sz w:val="19"/>
              </w:rPr>
              <w:t xml:space="preserve">•  </w:t>
            </w:r>
            <w:r>
              <w:rPr>
                <w:b/>
                <w:i w:val="0"/>
                <w:color w:val="2F3F9E"/>
                <w:sz w:val="19"/>
                <w:highlight w:val="yellow"/>
              </w:rPr>
              <w:t>DOVREBBE, DOVREBBERO (SHOULD)</w:t>
            </w:r>
            <w:r>
              <w:rPr>
                <w:b w:val="0"/>
                <w:i w:val="0"/>
                <w:sz w:val="19"/>
              </w:rPr>
              <w:t xml:space="preserve">  fortemente raccomandato. Le deroghe richiedono una valida motivazione scritta.</w:t>
            </w:r>
          </w:p>
          <w:p>
            <w:pPr>
              <w:spacing w:before="20" w:after="60"/>
            </w:pPr>
            <w:r>
              <w:rPr>
                <w:b/>
                <w:i w:val="0"/>
                <w:color w:val="2F3F9E"/>
                <w:sz w:val="19"/>
              </w:rPr>
              <w:t xml:space="preserve">•  </w:t>
            </w:r>
            <w:r>
              <w:rPr>
                <w:b/>
                <w:i w:val="0"/>
                <w:color w:val="2F3F9E"/>
                <w:sz w:val="19"/>
                <w:highlight w:val="yellow"/>
              </w:rPr>
              <w:t>PUÒ, POSSONO [FACOLTÀ] (MAY)</w:t>
            </w:r>
            <w:r>
              <w:rPr>
                <w:b w:val="0"/>
                <w:i w:val="0"/>
                <w:sz w:val="19"/>
              </w:rPr>
              <w:t xml:space="preserve">  facoltativo. Opportuno averlo, mai obbligatorio.</w:t>
            </w:r>
          </w:p>
          <w:p>
            <w:pPr>
              <w:spacing w:before="20" w:after="60"/>
            </w:pPr>
            <w:r>
              <w:rPr>
                <w:b/>
                <w:i w:val="0"/>
                <w:color w:val="2F3F9E"/>
                <w:sz w:val="19"/>
              </w:rPr>
              <w:t xml:space="preserve">•  </w:t>
            </w:r>
            <w:r>
              <w:rPr>
                <w:b/>
                <w:i w:val="0"/>
                <w:color w:val="2F3F9E"/>
                <w:sz w:val="19"/>
                <w:highlight w:val="yellow"/>
              </w:rPr>
              <w:t>PUÒ, POSSONO [POSSIBILITÀ] (CAN)</w:t>
            </w:r>
            <w:r>
              <w:rPr>
                <w:b w:val="0"/>
                <w:i w:val="0"/>
                <w:sz w:val="19"/>
              </w:rPr>
              <w:t xml:space="preserve">  una possibilità, non un requisito. Indica cosa è possibile e non obbliga nessuno.</w:t>
            </w:r>
          </w:p>
          <w:p>
            <w:pPr>
              <w:spacing w:before="20" w:after="60"/>
            </w:pPr>
            <w:r>
              <w:rPr>
                <w:b w:val="0"/>
                <w:i w:val="0"/>
                <w:sz w:val="19"/>
              </w:rPr>
              <w:t>Le voci della checklist formulano ciascun punto come prescrizione anche laddove la specifica formula solo una raccomandazione (dovrebbe) o elenca un meccanismo candidato. Si tratta di una decisione della stazione appaltante.</w:t>
            </w:r>
          </w:p>
        </w:tc>
      </w:tr>
    </w:tbl>
    <w:p>
      <w:pPr>
        <w:spacing w:before="160" w:after="80"/>
      </w:pPr>
      <w:r>
        <w:rPr>
          <w:b w:val="0"/>
          <w:i/>
          <w:color w:val="646B82"/>
          <w:sz w:val="18"/>
        </w:rPr>
        <w:t>Ciascuna voce della checklist riporta un riferimento sintetico come → MIM0 R1.1. Indica il requisito di MIMs Plus 9.0 da cui deriva; subito dopo la checklist si trova ogni requisito di quel MIM parola per parola. Solo MIM0 definisce le parole chiave: hanno valore prescrittivo se scritte in lettere maiuscole, secondo la convenzione delle norme IETF RFC 2119 e RFC 8174 (CAN deriva dalle Direttive ISO/IEC, Parte 2). Gli altri MIM non contengono definizioni: MIM6 scrive SHALL per lo più in maiuscolo, MIM2, MIM3, MIM7 e MIM8 scrivono shall, should e must in minuscolo, e MIM1 li impiega solo nella descrizione di un meccanismo (MUST NOT nella sezione 3.1). Questa guida interpreta i termini in minuscolo allo stesso modo; un offerente potrebbe interpretarli in senso meno vincolante.</w:t>
      </w:r>
    </w:p>
    <w:p>
      <w:r>
        <w:br w:type="page"/>
      </w:r>
    </w:p>
    <w:p>
      <w:pPr>
        <w:spacing w:before="120" w:after="160"/>
      </w:pPr>
      <w:r>
        <w:rPr>
          <w:b/>
          <w:i w:val="0"/>
          <w:color w:val="2F3F9E"/>
          <w:sz w:val="36"/>
        </w:rPr>
        <w:t>Sette MIM e tre strumenti</w:t>
      </w:r>
    </w:p>
    <w:p>
      <w:pPr>
        <w:spacing w:before="40" w:after="200"/>
      </w:pPr>
      <w:r>
        <w:rPr>
          <w:b w:val="0"/>
          <w:i w:val="0"/>
          <w:sz w:val="21"/>
        </w:rPr>
        <w:t>Sette meccanismi essenziali, un solo obiettivo: i dati restano sotto il controllo della città e i sistemi funzionano insieme.</w:t>
      </w:r>
    </w:p>
    <w:p>
      <w:pPr>
        <w:spacing w:before="40" w:after="20"/>
      </w:pPr>
      <w:r>
        <w:rPr>
          <w:b/>
          <w:i w:val="0"/>
          <w:color w:val="2F3F9E"/>
          <w:sz w:val="20"/>
        </w:rPr>
        <w:t xml:space="preserve">MIM0  </w:t>
      </w:r>
      <w:r>
        <w:rPr>
          <w:b/>
          <w:i w:val="0"/>
          <w:sz w:val="20"/>
        </w:rPr>
        <w:t>Accesso ai dati</w:t>
      </w:r>
    </w:p>
    <w:p>
      <w:pPr>
        <w:spacing w:before="40" w:after="20"/>
      </w:pPr>
      <w:r>
        <w:rPr>
          <w:b/>
          <w:i w:val="0"/>
          <w:color w:val="0B7485"/>
          <w:sz w:val="19"/>
        </w:rPr>
        <w:t xml:space="preserve">Possiamo estrarre i nostri dati?  </w:t>
      </w:r>
      <w:r>
        <w:rPr>
          <w:b w:val="0"/>
          <w:i w:val="0"/>
          <w:sz w:val="19"/>
        </w:rPr>
        <w:t>I dati sono recuperabili tramite API web standard, in formati leggibili meccanicamente.</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Interconnessione dei dati</w:t>
      </w:r>
    </w:p>
    <w:p>
      <w:pPr>
        <w:spacing w:before="40" w:after="20"/>
      </w:pPr>
      <w:r>
        <w:rPr>
          <w:b/>
          <w:i w:val="0"/>
          <w:color w:val="0B7485"/>
          <w:sz w:val="19"/>
        </w:rPr>
        <w:t xml:space="preserve">Ogni cosa ha un identificatore durevole?  </w:t>
      </w:r>
      <w:r>
        <w:rPr>
          <w:b w:val="0"/>
          <w:i w:val="0"/>
          <w:sz w:val="19"/>
        </w:rPr>
        <w:t>Ogni sensore, lampione ed edificio ha un identificatore univoco e persistente.</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Rappresentazione dei dati</w:t>
      </w:r>
    </w:p>
    <w:p>
      <w:pPr>
        <w:spacing w:before="40" w:after="20"/>
      </w:pPr>
      <w:r>
        <w:rPr>
          <w:b/>
          <w:i w:val="0"/>
          <w:color w:val="0B7485"/>
          <w:sz w:val="19"/>
        </w:rPr>
        <w:t xml:space="preserve">Parliamo un linguaggio comune?  </w:t>
      </w:r>
      <w:r>
        <w:rPr>
          <w:b w:val="0"/>
          <w:i w:val="0"/>
          <w:sz w:val="19"/>
        </w:rPr>
        <w:t>I dati seguono modelli dati standard e documentati, con unità di misura esplicite.</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Scambio di dati</w:t>
      </w:r>
    </w:p>
    <w:p>
      <w:pPr>
        <w:spacing w:before="40" w:after="20"/>
      </w:pPr>
      <w:r>
        <w:rPr>
          <w:b/>
          <w:i w:val="0"/>
          <w:color w:val="0B7485"/>
          <w:sz w:val="19"/>
        </w:rPr>
        <w:t xml:space="preserve">Possiamo condividere a condizioni chiare?  </w:t>
      </w:r>
      <w:r>
        <w:rPr>
          <w:b w:val="0"/>
          <w:i w:val="0"/>
          <w:sz w:val="19"/>
        </w:rPr>
        <w:t>I dati sono catalogati e condivisi con licenze standard e una governance chiara.</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Sicurezza dei dati</w:t>
      </w:r>
    </w:p>
    <w:p>
      <w:pPr>
        <w:spacing w:before="40" w:after="20"/>
      </w:pPr>
      <w:r>
        <w:rPr>
          <w:b/>
          <w:i w:val="0"/>
          <w:color w:val="0B7485"/>
          <w:sz w:val="19"/>
        </w:rPr>
        <w:t xml:space="preserve">I nostri dati sono al sicuro?  </w:t>
      </w:r>
      <w:r>
        <w:rPr>
          <w:b w:val="0"/>
          <w:i w:val="0"/>
          <w:sz w:val="19"/>
        </w:rPr>
        <w:t>Trasferimento cifrato, accessi standard, ruoli definiti e registri di audit.</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Dati geospaziali</w:t>
      </w:r>
    </w:p>
    <w:p>
      <w:pPr>
        <w:spacing w:before="40" w:after="20"/>
      </w:pPr>
      <w:r>
        <w:rPr>
          <w:b/>
          <w:i w:val="0"/>
          <w:color w:val="0B7485"/>
          <w:sz w:val="19"/>
        </w:rPr>
        <w:t xml:space="preserve">Funziona su una mappa?  </w:t>
      </w:r>
      <w:r>
        <w:rPr>
          <w:b w:val="0"/>
          <w:i w:val="0"/>
          <w:sz w:val="19"/>
        </w:rPr>
        <w:t>I dati spaziali usano interfacce OGC, formati aperti e sistemi di coordinate dichiarati.</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Gemelli digitali locali</w:t>
      </w:r>
    </w:p>
    <w:p>
      <w:pPr>
        <w:spacing w:before="40" w:after="20"/>
      </w:pPr>
      <w:r>
        <w:rPr>
          <w:b/>
          <w:i w:val="0"/>
          <w:color w:val="0B7485"/>
          <w:sz w:val="19"/>
        </w:rPr>
        <w:t xml:space="preserve">Il nostro gemello digitale può evolversi?  </w:t>
      </w:r>
      <w:r>
        <w:rPr>
          <w:b w:val="0"/>
          <w:i w:val="0"/>
          <w:sz w:val="19"/>
        </w:rPr>
        <w:t>Dati, modelli ed esiti del gemello restano accessibili, documentati e riutilizzabili.</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Strumenti per la gara d'appalto</w:t>
      </w:r>
    </w:p>
    <w:p>
      <w:pPr>
        <w:spacing w:before="40" w:after="20"/>
      </w:pPr>
      <w:r>
        <w:rPr>
          <w:b/>
          <w:i w:val="0"/>
          <w:color w:val="2F3F9E"/>
          <w:sz w:val="20"/>
        </w:rPr>
        <w:t>Clausole contrattuali trasversali</w:t>
      </w:r>
    </w:p>
    <w:p>
      <w:pPr>
        <w:spacing w:before="40" w:after="120"/>
      </w:pPr>
      <w:r>
        <w:rPr>
          <w:b/>
          <w:i w:val="0"/>
          <w:color w:val="0B7485"/>
          <w:sz w:val="19"/>
        </w:rPr>
        <w:t xml:space="preserve">Cosa deve esserci in ogni contratto?  </w:t>
      </w:r>
      <w:r>
        <w:rPr>
          <w:b w:val="0"/>
          <w:i w:val="0"/>
          <w:sz w:val="19"/>
        </w:rPr>
        <w:t>Uscita, diritti sui dati, stabilità delle API.</w:t>
      </w:r>
    </w:p>
    <w:p>
      <w:pPr>
        <w:spacing w:before="40" w:after="20"/>
      </w:pPr>
      <w:r>
        <w:rPr>
          <w:b/>
          <w:i w:val="0"/>
          <w:color w:val="2F3F9E"/>
          <w:sz w:val="20"/>
        </w:rPr>
        <w:t>Esempio: sensori di qualità dell'aria</w:t>
      </w:r>
    </w:p>
    <w:p>
      <w:pPr>
        <w:spacing w:before="40" w:after="120"/>
      </w:pPr>
      <w:r>
        <w:rPr>
          <w:b/>
          <w:i w:val="0"/>
          <w:color w:val="0B7485"/>
          <w:sz w:val="19"/>
        </w:rPr>
        <w:t xml:space="preserve">Come si presenta nella pratica?  </w:t>
      </w:r>
      <w:r>
        <w:rPr>
          <w:b w:val="0"/>
          <w:i w:val="0"/>
          <w:sz w:val="19"/>
        </w:rPr>
        <w:t>Cosa inserire nei vari atti e testi di esempio da incollare.</w:t>
      </w:r>
    </w:p>
    <w:p>
      <w:pPr>
        <w:spacing w:before="40" w:after="20"/>
      </w:pPr>
      <w:r>
        <w:rPr>
          <w:b/>
          <w:i w:val="0"/>
          <w:color w:val="2F3F9E"/>
          <w:sz w:val="20"/>
        </w:rPr>
        <w:t>Tabella di conformità</w:t>
      </w:r>
    </w:p>
    <w:p>
      <w:pPr>
        <w:spacing w:before="40" w:after="120"/>
      </w:pPr>
      <w:r>
        <w:rPr>
          <w:b/>
          <w:i w:val="0"/>
          <w:color w:val="0B7485"/>
          <w:sz w:val="19"/>
        </w:rPr>
        <w:t xml:space="preserve">Come lo dimostra l'offerente?  </w:t>
      </w:r>
      <w:r>
        <w:rPr>
          <w:b w:val="0"/>
          <w:i w:val="0"/>
          <w:sz w:val="19"/>
        </w:rPr>
        <w:t>Compilata dall'offerente, verificata dalla commissione, allegata al contratto.</w:t>
      </w:r>
    </w:p>
    <w:p>
      <w:pPr>
        <w:spacing w:before="80" w:after="80"/>
      </w:pPr>
      <w:r>
        <w:rPr>
          <w:b w:val="0"/>
          <w:i/>
          <w:color w:val="646B82"/>
          <w:sz w:val="18"/>
        </w:rPr>
        <w:t>Sulla numerazione: MIMs Plus 9.0 specifica sette meccanismi, numerati 0, 1, 2, 3, 6, 7 e 8. MIM4 (dati personali) e MIM5 (IA equa) appartengono a versioni precedenti di OASC e non fanno parte della 9.0. Non manca nulla in questa guida.</w:t>
      </w:r>
    </w:p>
    <w:p>
      <w:r>
        <w:br w:type="page"/>
      </w:r>
    </w:p>
    <w:p>
      <w:pPr>
        <w:spacing w:before="120" w:after="40"/>
      </w:pPr>
      <w:r>
        <w:rPr>
          <w:b/>
          <w:i w:val="0"/>
          <w:color w:val="2F3F9E"/>
          <w:sz w:val="36"/>
        </w:rPr>
        <w:t>MIM0 · Possiamo estrarre i nostri dati?</w:t>
      </w:r>
    </w:p>
    <w:p>
      <w:pPr>
        <w:spacing w:before="40" w:after="40"/>
      </w:pPr>
      <w:r>
        <w:rPr>
          <w:b w:val="0"/>
          <w:i w:val="0"/>
          <w:color w:val="646B82"/>
          <w:sz w:val="20"/>
        </w:rPr>
        <w:t xml:space="preserve">Accesso ai dati   </w:t>
      </w:r>
      <w:hyperlink r:id="rId13">
        <w:r>
          <w:rPr>
            <w:color w:val="2F3F9E"/>
            <w:u w:val="single"/>
            <w:sz w:val="17.0"/>
          </w:rPr>
          <w:t>mims.oascities.org/accessing-data</w:t>
        </w:r>
      </w:hyperlink>
    </w:p>
    <w:p>
      <w:pPr>
        <w:spacing w:before="120" w:after="200"/>
      </w:pPr>
      <w:r>
        <w:rPr>
          <w:b w:val="0"/>
          <w:i w:val="0"/>
          <w:sz w:val="20"/>
        </w:rPr>
        <w:t>Questa è la base. Se i dati non possono uscire dal sistema tramite un'interfaccia standard, tutto il resto in questa guida rimane teoria. MIM0 richiede una sola cosa a ogni sistema acquistato: i dati devono essere accessibili, in formato leggibile meccanicamente, attraverso il normale web.</w:t>
      </w:r>
    </w:p>
    <w:p>
      <w:pPr>
        <w:spacing w:before="40" w:after="20"/>
      </w:pPr>
      <w:r>
        <w:rPr>
          <w:b/>
          <w:i w:val="0"/>
          <w:color w:val="2F3F9E"/>
          <w:sz w:val="22"/>
        </w:rPr>
        <w:t xml:space="preserve">☐  </w:t>
      </w:r>
      <w:r>
        <w:rPr>
          <w:b/>
          <w:i w:val="0"/>
          <w:color w:val="2F3F9E"/>
          <w:sz w:val="20"/>
        </w:rPr>
        <w:t xml:space="preserve">0.1  </w:t>
      </w:r>
      <w:r>
        <w:rPr>
          <w:b/>
          <w:i w:val="0"/>
          <w:sz w:val="20"/>
        </w:rPr>
        <w:t>Tutti i dati raccolti o generati dal sistema sono recuperabili in almeno un formato leggibile meccanicamente (es. JSON, CSV) tramite un'API web standard.</w:t>
      </w:r>
    </w:p>
    <w:p>
      <w:pPr>
        <w:spacing w:before="40" w:after="140"/>
      </w:pPr>
      <w:r>
        <w:rPr>
          <w:b w:val="0"/>
          <w:i/>
          <w:color w:val="646B82"/>
          <w:sz w:val="18"/>
        </w:rPr>
        <w:t xml:space="preserve">L'appaltatore successivo — o il personale interno — può utilizzare i dati senza dipendere dal fornitore.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L'API è descritta formalmente in un documento aperto e leggibile meccanicamente (ad esempio OpenAPI) pubblicato a un indirizzo stabile.</w:t>
      </w:r>
    </w:p>
    <w:p>
      <w:pPr>
        <w:spacing w:before="40" w:after="140"/>
      </w:pPr>
      <w:r>
        <w:rPr>
          <w:b w:val="0"/>
          <w:i/>
          <w:color w:val="646B82"/>
          <w:sz w:val="18"/>
        </w:rPr>
        <w:t xml:space="preserve">Qualsiasi sviluppatore può connettersi senza dover pagare costose «giornate di integrazione».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I dati possono essere filtrati per intervallo temporale, posizione geografica e attributi direttamente nell'API.</w:t>
      </w:r>
    </w:p>
    <w:p>
      <w:pPr>
        <w:spacing w:before="40" w:after="140"/>
      </w:pPr>
      <w:r>
        <w:rPr>
          <w:b w:val="0"/>
          <w:i/>
          <w:color w:val="646B82"/>
          <w:sz w:val="18"/>
        </w:rPr>
        <w:t xml:space="preserve">Si recupera solo ciò che serve, non un dump completo notturno.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Laddove il caso d'uso richieda dati in tempo reale, i fruitori possono sottoscrivere le modifiche (webhook, MQTT o analoghi) invece di ricorrere al polling continuo.</w:t>
      </w:r>
    </w:p>
    <w:p>
      <w:pPr>
        <w:spacing w:before="40" w:after="140"/>
      </w:pPr>
      <w:r>
        <w:rPr>
          <w:b w:val="0"/>
          <w:i/>
          <w:color w:val="646B82"/>
          <w:sz w:val="18"/>
        </w:rPr>
        <w:t xml:space="preserve">Dashboard in tempo reale e sistemi di allerta diventano possibili a costi contenuti.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Gli errori, la memorizzazione nella cache e i limiti di frequenza seguono le convenzioni HTTP standard e sono documentati.</w:t>
      </w:r>
    </w:p>
    <w:p>
      <w:pPr>
        <w:spacing w:before="40" w:after="140"/>
      </w:pPr>
      <w:r>
        <w:rPr>
          <w:b w:val="0"/>
          <w:i/>
          <w:color w:val="646B82"/>
          <w:sz w:val="18"/>
        </w:rPr>
        <w:t xml:space="preserve">Le integrazioni falliscono in modo evidente e correggibile, non silente.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PERCHÉ È IMPORTANTE</w:t>
            </w:r>
          </w:p>
          <w:p>
            <w:pPr>
              <w:spacing w:before="20" w:after="60"/>
            </w:pPr>
            <w:r>
              <w:rPr>
                <w:b/>
                <w:i w:val="0"/>
                <w:color w:val="2F3F9E"/>
                <w:sz w:val="18"/>
              </w:rPr>
              <w:t xml:space="preserve">•  </w:t>
            </w:r>
            <w:r>
              <w:rPr>
                <w:b w:val="0"/>
                <w:i w:val="0"/>
                <w:sz w:val="18"/>
              </w:rPr>
              <w:t>I dati già pagati restano utilizzabili anche al termine del contratto.</w:t>
            </w:r>
          </w:p>
          <w:p>
            <w:pPr>
              <w:spacing w:before="20" w:after="60"/>
            </w:pPr>
            <w:r>
              <w:rPr>
                <w:b/>
                <w:i w:val="0"/>
                <w:color w:val="2F3F9E"/>
                <w:sz w:val="18"/>
              </w:rPr>
              <w:t xml:space="preserve">•  </w:t>
            </w:r>
            <w:r>
              <w:rPr>
                <w:b w:val="0"/>
                <w:i w:val="0"/>
                <w:sz w:val="18"/>
              </w:rPr>
              <w:t>I nuovi servizi si innestano sui dati esistenti senza dover ripartire da capo.</w:t>
            </w:r>
          </w:p>
          <w:p>
            <w:pPr>
              <w:spacing w:before="20" w:after="60"/>
            </w:pPr>
            <w:r>
              <w:rPr>
                <w:b/>
                <w:i w:val="0"/>
                <w:color w:val="2F3F9E"/>
                <w:sz w:val="18"/>
              </w:rPr>
              <w:t xml:space="preserve">•  </w:t>
            </w:r>
            <w:r>
              <w:rPr>
                <w:b w:val="0"/>
                <w:i w:val="0"/>
                <w:sz w:val="18"/>
              </w:rPr>
              <w:t>I costi di integrazione diminuiscono per tutti i progetti futuri.</w:t>
            </w:r>
          </w:p>
        </w:tc>
        <w:tc>
          <w:tcPr>
            <w:tcW w:type="dxa" w:w="4986"/>
            <w:shd w:val="clear" w:fill="FBEEEE"/>
          </w:tcPr>
          <w:p>
            <w:pPr>
              <w:spacing w:before="20" w:after="60"/>
            </w:pPr>
            <w:r>
              <w:rPr>
                <w:b/>
                <w:i w:val="0"/>
                <w:color w:val="A02020"/>
                <w:sz w:val="18"/>
              </w:rPr>
              <w:t>SEGNALI D'ALLARME</w:t>
            </w:r>
          </w:p>
          <w:p>
            <w:pPr>
              <w:spacing w:before="20" w:after="60"/>
            </w:pPr>
            <w:r>
              <w:rPr>
                <w:b/>
                <w:i w:val="0"/>
                <w:color w:val="A02020"/>
                <w:sz w:val="18"/>
              </w:rPr>
              <w:t xml:space="preserve">•  </w:t>
            </w:r>
            <w:r>
              <w:rPr>
                <w:b w:val="0"/>
                <w:i w:val="0"/>
                <w:sz w:val="18"/>
              </w:rPr>
              <w:t>«Esportazione dati su richiesta tramite la nostra assistenza.»</w:t>
            </w:r>
          </w:p>
          <w:p>
            <w:pPr>
              <w:spacing w:before="20" w:after="60"/>
            </w:pPr>
            <w:r>
              <w:rPr>
                <w:b/>
                <w:i w:val="0"/>
                <w:color w:val="A02020"/>
                <w:sz w:val="18"/>
              </w:rPr>
              <w:t xml:space="preserve">•  </w:t>
            </w:r>
            <w:r>
              <w:rPr>
                <w:b w:val="0"/>
                <w:i w:val="0"/>
                <w:sz w:val="18"/>
              </w:rPr>
              <w:t>«L'API è disponibile come modulo aggiuntivo a pagamento.»</w:t>
            </w:r>
          </w:p>
          <w:p>
            <w:pPr>
              <w:spacing w:before="20" w:after="60"/>
            </w:pPr>
            <w:r>
              <w:rPr>
                <w:b/>
                <w:i w:val="0"/>
                <w:color w:val="A02020"/>
                <w:sz w:val="18"/>
              </w:rPr>
              <w:t xml:space="preserve">•  </w:t>
            </w:r>
            <w:r>
              <w:rPr>
                <w:b w:val="0"/>
                <w:i w:val="0"/>
                <w:sz w:val="18"/>
              </w:rPr>
              <w:t>Tariffazione per singola richiesta per accedere ai dati propri del comune (si veda la clausola «Nessun costo per i dati propri»).</w:t>
            </w:r>
          </w:p>
        </w:tc>
      </w:tr>
    </w:tbl>
    <w:p>
      <w:pPr>
        <w:spacing w:before="280" w:after="40"/>
      </w:pPr>
      <w:r>
        <w:rPr>
          <w:b/>
          <w:i w:val="0"/>
          <w:color w:val="2F3F9E"/>
          <w:sz w:val="26"/>
        </w:rPr>
        <w:t>Cosa dice la specifica</w:t>
      </w:r>
    </w:p>
    <w:p>
      <w:pPr>
        <w:spacing w:before="40" w:after="120"/>
      </w:pPr>
      <w:r>
        <w:rPr>
          <w:b w:val="0"/>
          <w:i w:val="0"/>
          <w:color w:val="646B82"/>
          <w:sz w:val="18"/>
        </w:rPr>
        <w:t>Ogni requisito di questo MIM, testuale da MIMs Plus 9.0: La specifica esiste solo in lingua inglese: il testo in italiano è una traduzione non ufficiale a cura dell'autore di questa guida; il testo originale inglese sottostante fa fede.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I dati leggibili meccanicamente sono recuperabili attraverso il 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I sistemi DEVONO consentire il recupero dei dati in almeno un formato leggibile meccanicamente. I formati possono essere specificati mediante la negoziazione dei contenuti 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I dati DEVONO essere recuperabili tramite almeno un meccanismo standard basato sul web</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I meccanismi di accesso DEVONO essere descritti formalmente</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I modelli dati utilizzati dai payload dovrebbero essere specificati (si veda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L'accesso è strutturato e interrogabile</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I sistemi DEVONO fornire i dati mediante un'interfaccia strutturata e coerente</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I sistemi DEVONO supportare interrogazioni e/o filtri di base (ad es. per ora, luogo, attributi)</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Ulteriori migliori prassi da considerare:</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Le API DOVREBBERO supportare il recupero dei dati correnti</w:t>
              <w:br/>
              <w:t>Le API DOVREBBERO supportare il recupero dei dati storici ove applicabile</w:t>
              <w:br/>
              <w:t>Le API DOVREBBERO supportare interrogazioni geospaziali ove applicabile (si veda MIM7)</w:t>
              <w:br/>
              <w:t>Le API DOVREBBERO supportare l'iscrizione alle modifiche ove applicabile</w:t>
              <w:br/>
              <w:t>Le API DOVREBBERO esporre la marca temporale del successivo aggiornamento previsto</w:t>
              <w:br/>
              <w:t>Le API DOVREBBERO supportare il versionamento esplicito degli endpoint</w:t>
              <w:br/>
              <w:t>Le API DOVREBBERO fornire payload di esempio o query di test</w:t>
              <w:br/>
              <w:t>Le API DOVREBBERO supportare le intestazioni standard di caching HTTP</w:t>
              <w:br/>
              <w:t>Le API DOVREBBERO comunicare lo stato del limite di frequenza tramite intestazioni HTTP standard</w:t>
              <w:br/>
              <w:t>Le API DOVREBBERO restituire corpi di errore strutturati</w:t>
              <w:br/>
              <w:t>Le API POSSONO supportare risposte parziali o proiezioni di query</w:t>
              <w:br/>
              <w:t>Le API POSSONO esporre un endpoint standard di stato/integrità</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È possibile iscriversi alle modifiche dei dati</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I sistemi per casi d'uso che richiedono notifiche DEVONO fornire almeno un meccanismo per ricevere aggiornamenti sulle modifiche dei dati</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I sistemi POSSONO supportare molteplici meccanismi di iscrizione a seconda del caso d'uso</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L'accesso alle informazioni può essere limitato</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Se tali restrizioni sono presenti, esse DEVONO seguire i requisiti definiti in MIM3 e MIM6, nello specifico: identificazione degli attori (MIM3.C5.R0), autorizzazione e ruoli degli attori (MIM6.C1.R4), policy a livello di risorsa di dati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Specifica completa: </w:t>
      </w:r>
      <w:hyperlink r:id="rId13">
        <w:r>
          <w:rPr>
            <w:color w:val="2F3F9E"/>
            <w:u w:val="single"/>
            <w:sz w:val="18"/>
          </w:rPr>
          <w:t>https://mims.oascities.org/accessing-data</w:t>
        </w:r>
      </w:hyperlink>
    </w:p>
    <w:p>
      <w:r>
        <w:br w:type="page"/>
      </w:r>
    </w:p>
    <w:p>
      <w:pPr>
        <w:spacing w:before="120" w:after="40"/>
      </w:pPr>
      <w:r>
        <w:rPr>
          <w:b/>
          <w:i w:val="0"/>
          <w:color w:val="2F3F9E"/>
          <w:sz w:val="36"/>
        </w:rPr>
        <w:t>MIM1 · Ogni cosa ha un identificatore durevole?</w:t>
      </w:r>
    </w:p>
    <w:p>
      <w:pPr>
        <w:spacing w:before="40" w:after="40"/>
      </w:pPr>
      <w:r>
        <w:rPr>
          <w:b w:val="0"/>
          <w:i w:val="0"/>
          <w:color w:val="646B82"/>
          <w:sz w:val="20"/>
        </w:rPr>
        <w:t xml:space="preserve">Interconnessione dei dati   </w:t>
      </w:r>
      <w:hyperlink r:id="rId14">
        <w:r>
          <w:rPr>
            <w:color w:val="2F3F9E"/>
            <w:u w:val="single"/>
            <w:sz w:val="17.0"/>
          </w:rPr>
          <w:t>mims.oascities.org/interlinking-data</w:t>
        </w:r>
      </w:hyperlink>
    </w:p>
    <w:p>
      <w:pPr>
        <w:spacing w:before="120" w:after="200"/>
      </w:pPr>
      <w:r>
        <w:rPr>
          <w:b w:val="0"/>
          <w:i w:val="0"/>
          <w:sz w:val="20"/>
        </w:rPr>
        <w:t>Una città è fatta di cose: lampioni, tubature, edifici, stalli di sosta. I software vanno e vengono, ma le cose restano. MIM1 richiede che ogni cosa riceva un nome — un identificatore — che sopravviva al software che l'ha censita la prima volta, così che la sua cronologia e i collegamenti ad altri dati resistano a ogni migrazione.</w:t>
      </w:r>
    </w:p>
    <w:p>
      <w:pPr>
        <w:spacing w:before="40" w:after="20"/>
      </w:pPr>
      <w:r>
        <w:rPr>
          <w:b/>
          <w:i w:val="0"/>
          <w:color w:val="2F3F9E"/>
          <w:sz w:val="22"/>
        </w:rPr>
        <w:t xml:space="preserve">☐  </w:t>
      </w:r>
      <w:r>
        <w:rPr>
          <w:b/>
          <w:i w:val="0"/>
          <w:color w:val="2F3F9E"/>
          <w:sz w:val="20"/>
        </w:rPr>
        <w:t xml:space="preserve">1.1  </w:t>
      </w:r>
      <w:r>
        <w:rPr>
          <w:b/>
          <w:i w:val="0"/>
          <w:sz w:val="20"/>
        </w:rPr>
        <w:t>Ogni entità (sensore, lampione, edificio, stallo di sosta…) ha un identificatore univoco e persistente che non cambia con la sostituzione del software.</w:t>
      </w:r>
    </w:p>
    <w:p>
      <w:pPr>
        <w:spacing w:before="40" w:after="140"/>
      </w:pPr>
      <w:r>
        <w:rPr>
          <w:b w:val="0"/>
          <w:i/>
          <w:color w:val="646B82"/>
          <w:sz w:val="18"/>
        </w:rPr>
        <w:t xml:space="preserve">La cronologia e i collegamenti tra sistemi sopravvivono al cambio di fornitore.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L'identificatore può essere risolto per recuperare i dati dell'entità e il suo significato (tipo) in formato leggibile meccanicamente.</w:t>
      </w:r>
    </w:p>
    <w:p>
      <w:pPr>
        <w:spacing w:before="40" w:after="140"/>
      </w:pPr>
      <w:r>
        <w:rPr>
          <w:b w:val="0"/>
          <w:i/>
          <w:color w:val="646B82"/>
          <w:sz w:val="18"/>
        </w:rPr>
        <w:t xml:space="preserve">Gli altri sistemi possono seguire il collegamento automaticamente.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Laddove la medesima entità reale sia presente in più sistemi, gli identificatori possono essere mappati tra loro.</w:t>
      </w:r>
    </w:p>
    <w:p>
      <w:pPr>
        <w:spacing w:before="40" w:after="140"/>
      </w:pPr>
      <w:r>
        <w:rPr>
          <w:b w:val="0"/>
          <w:i/>
          <w:color w:val="646B82"/>
          <w:sz w:val="18"/>
        </w:rPr>
        <w:t xml:space="preserve">L'edificio nel GIS e quello nella gestione energetica risultano con certezza lo stesso edificio.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Gli identificatori non contengono riferimenti interni del fornitore (ID di riga nel database, nomi dei server).</w:t>
      </w:r>
    </w:p>
    <w:p>
      <w:pPr>
        <w:spacing w:before="40" w:after="140"/>
      </w:pPr>
      <w:r>
        <w:rPr>
          <w:b w:val="0"/>
          <w:i/>
          <w:color w:val="646B82"/>
          <w:sz w:val="18"/>
        </w:rPr>
        <w:t xml:space="preserve">Altrimenti gli identificatori cessano con il contratto.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PERCHÉ È IMPORTANTE</w:t>
            </w:r>
          </w:p>
          <w:p>
            <w:pPr>
              <w:spacing w:before="20" w:after="60"/>
            </w:pPr>
            <w:r>
              <w:rPr>
                <w:b/>
                <w:i w:val="0"/>
                <w:color w:val="2F3F9E"/>
                <w:sz w:val="18"/>
              </w:rPr>
              <w:t xml:space="preserve">•  </w:t>
            </w:r>
            <w:r>
              <w:rPr>
                <w:b w:val="0"/>
                <w:i w:val="0"/>
                <w:sz w:val="18"/>
              </w:rPr>
              <w:t>Dieci anni di rilevazioni rimangono sempre associati al lampione corretto.</w:t>
            </w:r>
          </w:p>
          <w:p>
            <w:pPr>
              <w:spacing w:before="20" w:after="60"/>
            </w:pPr>
            <w:r>
              <w:rPr>
                <w:b/>
                <w:i w:val="0"/>
                <w:color w:val="2F3F9E"/>
                <w:sz w:val="18"/>
              </w:rPr>
              <w:t xml:space="preserve">•  </w:t>
            </w:r>
            <w:r>
              <w:rPr>
                <w:b w:val="0"/>
                <w:i w:val="0"/>
                <w:sz w:val="18"/>
              </w:rPr>
              <w:t>I vari uffici smettono di gestire cinque registri discordanti degli stessi beni.</w:t>
            </w:r>
          </w:p>
          <w:p>
            <w:pPr>
              <w:spacing w:before="20" w:after="60"/>
            </w:pPr>
            <w:r>
              <w:rPr>
                <w:b/>
                <w:i w:val="0"/>
                <w:color w:val="2F3F9E"/>
                <w:sz w:val="18"/>
              </w:rPr>
              <w:t xml:space="preserve">•  </w:t>
            </w:r>
            <w:r>
              <w:rPr>
                <w:b w:val="0"/>
                <w:i w:val="0"/>
                <w:sz w:val="18"/>
              </w:rPr>
              <w:t>Collegare insiemi di dati diventa una semplice interrogazione, non una costosa consulenza.</w:t>
            </w:r>
          </w:p>
        </w:tc>
        <w:tc>
          <w:tcPr>
            <w:tcW w:type="dxa" w:w="4986"/>
            <w:shd w:val="clear" w:fill="FBEEEE"/>
          </w:tcPr>
          <w:p>
            <w:pPr>
              <w:spacing w:before="20" w:after="60"/>
            </w:pPr>
            <w:r>
              <w:rPr>
                <w:b/>
                <w:i w:val="0"/>
                <w:color w:val="A02020"/>
                <w:sz w:val="18"/>
              </w:rPr>
              <w:t>SEGNALI D'ALLARME</w:t>
            </w:r>
          </w:p>
          <w:p>
            <w:pPr>
              <w:spacing w:before="20" w:after="60"/>
            </w:pPr>
            <w:r>
              <w:rPr>
                <w:b/>
                <w:i w:val="0"/>
                <w:color w:val="A02020"/>
                <w:sz w:val="18"/>
              </w:rPr>
              <w:t xml:space="preserve">•  </w:t>
            </w:r>
            <w:r>
              <w:rPr>
                <w:b w:val="0"/>
                <w:i w:val="0"/>
                <w:sz w:val="18"/>
              </w:rPr>
              <w:t>«Gli ID sono a uso interno della nostra piattaforma.»</w:t>
            </w:r>
          </w:p>
          <w:p>
            <w:pPr>
              <w:spacing w:before="20" w:after="60"/>
            </w:pPr>
            <w:r>
              <w:rPr>
                <w:b/>
                <w:i w:val="0"/>
                <w:color w:val="A02020"/>
                <w:sz w:val="18"/>
              </w:rPr>
              <w:t xml:space="preserve">•  </w:t>
            </w:r>
            <w:r>
              <w:rPr>
                <w:b w:val="0"/>
                <w:i w:val="0"/>
                <w:sz w:val="18"/>
              </w:rPr>
              <w:t>Gli identificatori vengono rigenerati a ogni migrazione dei dati.</w:t>
            </w:r>
          </w:p>
        </w:tc>
      </w:tr>
    </w:tbl>
    <w:p>
      <w:pPr>
        <w:spacing w:before="280" w:after="40"/>
      </w:pPr>
      <w:r>
        <w:rPr>
          <w:b/>
          <w:i w:val="0"/>
          <w:color w:val="2F3F9E"/>
          <w:sz w:val="26"/>
        </w:rPr>
        <w:t>Cosa dice la specifica</w:t>
      </w:r>
    </w:p>
    <w:p>
      <w:pPr>
        <w:spacing w:before="40" w:after="120"/>
      </w:pPr>
      <w:r>
        <w:rPr>
          <w:b w:val="0"/>
          <w:i w:val="0"/>
          <w:color w:val="646B82"/>
          <w:sz w:val="18"/>
        </w:rPr>
        <w:t>Ogni requisito di questo MIM, testuale da MIMs Plus 9.0: La specifica esiste solo in lingua inglese: il testo in italiano è una traduzione non ufficiale a cura dell'autore di questa guida; il testo originale inglese sottostante fa fede.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 entità sono identificate tramite identificatori univoci</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Ogni entità all'interno del sistema ha un identificatore univoco</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Esiste un modo per recuperare informazioni su un'entità cercando l'identificatore all'interno di un sistema</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se un identificatore univoco punta alla medesima entità all'interno di più sistemi, è possibile ricavare il modo per cercarne le informazioni in ciascuno di questi sistemi</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se molteplici identificatori univoci puntano alla stessa entità, è possibile mapparli tra loro</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È possibile creare identificatori che siano persistenti nel tempo</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Le entità possono essere tipizzate</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Esiste un modo per recuperare la semantica di un'entità, unicamente usando il suo identificatore univoco</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Tale semantica è descritta in un formato leggibile meccanicamente</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Le entità possono essere (de)referenziate</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Esiste un modo per dereferenziare una relazione definita su un'entità</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Esiste un modo per applicare un'ulteriore semantica a un'ontologia esistente</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Meccanismo 1, sezione 3.1: Identificazione delle entità con IRI globalmente univoci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L'IRI è trattato come l'identificatore canonico in tutti i sistemi a valle; le implementazioni NON DEVONO generare IRI che incorporino dettagli volatili di implementazione quali ID di riga del database o nomi host dei server.</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Specifica completa: </w:t>
      </w:r>
      <w:hyperlink r:id="rId14">
        <w:r>
          <w:rPr>
            <w:color w:val="2F3F9E"/>
            <w:u w:val="single"/>
            <w:sz w:val="18"/>
          </w:rPr>
          <w:t>https://mims.oascities.org/interlinking-data</w:t>
        </w:r>
      </w:hyperlink>
    </w:p>
    <w:p>
      <w:r>
        <w:br w:type="page"/>
      </w:r>
    </w:p>
    <w:p>
      <w:pPr>
        <w:spacing w:before="120" w:after="40"/>
      </w:pPr>
      <w:r>
        <w:rPr>
          <w:b/>
          <w:i w:val="0"/>
          <w:color w:val="2F3F9E"/>
          <w:sz w:val="36"/>
        </w:rPr>
        <w:t>MIM2 · Parliamo un linguaggio comune?</w:t>
      </w:r>
    </w:p>
    <w:p>
      <w:pPr>
        <w:spacing w:before="40" w:after="40"/>
      </w:pPr>
      <w:r>
        <w:rPr>
          <w:b w:val="0"/>
          <w:i w:val="0"/>
          <w:color w:val="646B82"/>
          <w:sz w:val="20"/>
        </w:rPr>
        <w:t xml:space="preserve">Rappresentazione dei dati   </w:t>
      </w:r>
      <w:hyperlink r:id="rId15">
        <w:r>
          <w:rPr>
            <w:color w:val="2F3F9E"/>
            <w:u w:val="single"/>
            <w:sz w:val="17.0"/>
          </w:rPr>
          <w:t>mims.oascities.org/representing-data</w:t>
        </w:r>
      </w:hyperlink>
    </w:p>
    <w:p>
      <w:pPr>
        <w:spacing w:before="120" w:after="200"/>
      </w:pPr>
      <w:r>
        <w:rPr>
          <w:b w:val="0"/>
          <w:i w:val="0"/>
          <w:sz w:val="20"/>
        </w:rPr>
        <w:t>Due sistemi possono entrambi esportare file JSON e ciononostante non capirsi affatto. MIM2 riguarda il significato: utilizzare modelli dati condivisi e documentati — con unità di misura e formati espliciti — affinché «temperatura», «stallo di sosta» o «qualità dell'aria» abbiano lo stesso significato in ogni sistema dell'ente.</w:t>
      </w:r>
    </w:p>
    <w:p>
      <w:pPr>
        <w:spacing w:before="40" w:after="20"/>
      </w:pPr>
      <w:r>
        <w:rPr>
          <w:b/>
          <w:i w:val="0"/>
          <w:color w:val="2F3F9E"/>
          <w:sz w:val="22"/>
        </w:rPr>
        <w:t xml:space="preserve">☐  </w:t>
      </w:r>
      <w:r>
        <w:rPr>
          <w:b/>
          <w:i w:val="0"/>
          <w:color w:val="2F3F9E"/>
          <w:sz w:val="20"/>
        </w:rPr>
        <w:t xml:space="preserve">2.1  </w:t>
      </w:r>
      <w:r>
        <w:rPr>
          <w:b/>
          <w:i w:val="0"/>
          <w:sz w:val="20"/>
        </w:rPr>
        <w:t>I dati adottano modelli dati standard ampiamente riconosciuti ovunque esistano (es. Smart Data Models, SAREF, ISO/IEC 5087); ogni deroga è motivata per iscritto.</w:t>
      </w:r>
    </w:p>
    <w:p>
      <w:pPr>
        <w:spacing w:before="40" w:after="140"/>
      </w:pPr>
      <w:r>
        <w:rPr>
          <w:b w:val="0"/>
          <w:i/>
          <w:color w:val="646B82"/>
          <w:sz w:val="18"/>
        </w:rPr>
        <w:t xml:space="preserve">I dati di due fornitori diversi si uniscono senza bisogno di progetti di conversione.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Tutti i modelli dati utilizzati sono esplicitamente documentati, con indicazione chiara delle unità di misura e dei formati di data e ora.</w:t>
      </w:r>
    </w:p>
    <w:p>
      <w:pPr>
        <w:spacing w:before="40" w:after="140"/>
      </w:pPr>
      <w:r>
        <w:rPr>
          <w:b w:val="0"/>
          <w:i/>
          <w:color w:val="646B82"/>
          <w:sz w:val="18"/>
        </w:rPr>
        <w:t xml:space="preserve">«Temperatura: 23» è un dato inutile se nessuno ha specificato se si tratta di °C o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Le estensioni sono fornite come profili o integrazioni documentate sul modello standard — mai come fork proprietari modificati.</w:t>
      </w:r>
    </w:p>
    <w:p>
      <w:pPr>
        <w:spacing w:before="40" w:after="140"/>
      </w:pPr>
      <w:r>
        <w:rPr>
          <w:b w:val="0"/>
          <w:i/>
          <w:color w:val="646B82"/>
          <w:sz w:val="18"/>
        </w:rPr>
        <w:t xml:space="preserve">Si mantiene la piena compatibilità con la comunità e con gli aggiornamenti futuri.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Ogni modello dispone di almeno una serializzazione aperta e validabile tramite schema (es. JSON con JSON Schema).</w:t>
      </w:r>
    </w:p>
    <w:p>
      <w:pPr>
        <w:spacing w:before="40" w:after="140"/>
      </w:pPr>
      <w:r>
        <w:rPr>
          <w:b w:val="0"/>
          <w:i/>
          <w:color w:val="646B82"/>
          <w:sz w:val="18"/>
        </w:rPr>
        <w:t xml:space="preserve">I dati in ingresso possono essere controllati automaticamente prima di essere acquisiti.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PERCHÉ È IMPORTANTE</w:t>
            </w:r>
          </w:p>
          <w:p>
            <w:pPr>
              <w:spacing w:before="20" w:after="60"/>
            </w:pPr>
            <w:r>
              <w:rPr>
                <w:b/>
                <w:i w:val="0"/>
                <w:color w:val="2F3F9E"/>
                <w:sz w:val="18"/>
              </w:rPr>
              <w:t xml:space="preserve">•  </w:t>
            </w:r>
            <w:r>
              <w:rPr>
                <w:b w:val="0"/>
                <w:i w:val="0"/>
                <w:sz w:val="18"/>
              </w:rPr>
              <w:t>Un'unica dashboard legge i dati di più fornitori senza necessità di adattatori.</w:t>
            </w:r>
          </w:p>
          <w:p>
            <w:pPr>
              <w:spacing w:before="20" w:after="60"/>
            </w:pPr>
            <w:r>
              <w:rPr>
                <w:b/>
                <w:i w:val="0"/>
                <w:color w:val="2F3F9E"/>
                <w:sz w:val="18"/>
              </w:rPr>
              <w:t xml:space="preserve">•  </w:t>
            </w:r>
            <w:r>
              <w:rPr>
                <w:b w:val="0"/>
                <w:i w:val="0"/>
                <w:sz w:val="18"/>
              </w:rPr>
              <w:t>I dati del proprio ente sono compresi dagli applicativi di altri enti — e viceversa.</w:t>
            </w:r>
          </w:p>
          <w:p>
            <w:pPr>
              <w:spacing w:before="20" w:after="60"/>
            </w:pPr>
            <w:r>
              <w:rPr>
                <w:b/>
                <w:i w:val="0"/>
                <w:color w:val="2F3F9E"/>
                <w:sz w:val="18"/>
              </w:rPr>
              <w:t xml:space="preserve">•  </w:t>
            </w:r>
            <w:r>
              <w:rPr>
                <w:b w:val="0"/>
                <w:i w:val="0"/>
                <w:sz w:val="18"/>
              </w:rPr>
              <w:t>La validazione automatica rileva i dati errati prima che si propaghino nel sistema.</w:t>
            </w:r>
          </w:p>
        </w:tc>
        <w:tc>
          <w:tcPr>
            <w:tcW w:type="dxa" w:w="4986"/>
            <w:shd w:val="clear" w:fill="FBEEEE"/>
          </w:tcPr>
          <w:p>
            <w:pPr>
              <w:spacing w:before="20" w:after="60"/>
            </w:pPr>
            <w:r>
              <w:rPr>
                <w:b/>
                <w:i w:val="0"/>
                <w:color w:val="A02020"/>
                <w:sz w:val="18"/>
              </w:rPr>
              <w:t>SEGNALI D'ALLARME</w:t>
            </w:r>
          </w:p>
          <w:p>
            <w:pPr>
              <w:spacing w:before="20" w:after="60"/>
            </w:pPr>
            <w:r>
              <w:rPr>
                <w:b/>
                <w:i w:val="0"/>
                <w:color w:val="A02020"/>
                <w:sz w:val="18"/>
              </w:rPr>
              <w:t xml:space="preserve">•  </w:t>
            </w:r>
            <w:r>
              <w:rPr>
                <w:b w:val="0"/>
                <w:i w:val="0"/>
                <w:sz w:val="18"/>
              </w:rPr>
              <w:t>«Il nostro modello dati proprietario è molto più ricco di quello standard.»</w:t>
            </w:r>
          </w:p>
          <w:p>
            <w:pPr>
              <w:spacing w:before="20" w:after="60"/>
            </w:pPr>
            <w:r>
              <w:rPr>
                <w:b/>
                <w:i w:val="0"/>
                <w:color w:val="A02020"/>
                <w:sz w:val="18"/>
              </w:rPr>
              <w:t xml:space="preserve">•  </w:t>
            </w:r>
            <w:r>
              <w:rPr>
                <w:b w:val="0"/>
                <w:i w:val="0"/>
                <w:sz w:val="18"/>
              </w:rPr>
              <w:t>Documentazione disponibile solo previa sottoscrizione di un NDA.</w:t>
            </w:r>
          </w:p>
        </w:tc>
      </w:tr>
    </w:tbl>
    <w:p>
      <w:pPr>
        <w:spacing w:before="280" w:after="40"/>
      </w:pPr>
      <w:r>
        <w:rPr>
          <w:b/>
          <w:i w:val="0"/>
          <w:color w:val="2F3F9E"/>
          <w:sz w:val="26"/>
        </w:rPr>
        <w:t>Cosa dice la specifica</w:t>
      </w:r>
    </w:p>
    <w:p>
      <w:pPr>
        <w:spacing w:before="40" w:after="120"/>
      </w:pPr>
      <w:r>
        <w:rPr>
          <w:b w:val="0"/>
          <w:i w:val="0"/>
          <w:color w:val="646B82"/>
          <w:sz w:val="18"/>
        </w:rPr>
        <w:t>Ogni requisito di questo MIM, testuale da MIMs Plus 9.0: La specifica esiste solo in lingua inglese: il testo in italiano è una traduzione non ufficiale a cura dell'autore di questa guida; il testo originale inglese sottostante fa fede.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Tutte le entità incluse nelle sorgenti di dati sono descritte mediante modelli dati coerenti per consentire l'interoperabilità tra applicazioni e sistemi</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I modelli dati utilizzati per tutte le entità in qualsiasi sorgente di dati devono essere resi espliciti. Essi devono essere ben documentati e disporre di metadati descrittivi, dove i termini impiegati devono essere semanticamente univoci. Per gli attributi relativi a unità di misura, formati temporali ecc., le unità, i formati ecc., impiegati devono essere resi espliciti. I modelli dati dovrebbero essere catalogati in modo da essere facilmente reperibili.</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I modelli dati utilizzati devono basarsi (ovunque possibile) su modelli dati standardizzati comunemente riconosciuti come elencati di seguito</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Laddove non sia possibile utilizzare modelli dati standardizzati esistenti, devono essere compiuti sforzi per estendere i modelli dati standardizzati esistenti più affini o per definirne di nuovi, seguendo le migliori prassi e le convenzioni della comunità o dell'organizzazione che definisce i modelli dati.</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I modelli dati utilizzati devono supportare lo scambio di dati applicando i requisiti pertinenti dei MIM sull'Accesso ai dati e sull'Interconnessione dei dati</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 diversi modelli dati utilizzati all'interno di un comune ecosistema di condivisione dei dati per la medesima entità dovrebbero essere facilmente trasformabili in un modello dati comune</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Un modello dati comune per ogni entità fondamentale dovrebbe essere sviluppato per qualsiasi ecosistema di dati. Tale modello dati comune dovrebbe contenere tutti i campi inclusi nei diversi modelli dati utilizzati per quell'entità all'interno dell'ecosistema di dati. Ciascun diverso modello dati utilizzato all'interno dell'ecosistema di dati potrebbe quindi essere trasformato nel modello dati comune.</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Tutti i dati e i relativi metadati possono essere condivisi in formati di trasporto dati aperti e standardizzati affinché possano essere scambiati e interpretati in modo coerente da strumenti e implementazioni differenti</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Ogni modello dati utilizzato deve avere almeno un formato di trasporto dati leggibile meccanicamente («serializzazione») definito che sia aperto, accessibile al pubblico e indipendente dall'implementazione.</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La documentazione del formato di trasporto dei dati dovrebbe essere sufficiente a consentire la creazione di un'applicazione o interprete non proprietario in grado di ricostruire tutti i dati archiviati in tale formato di dati.</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Laddove siano supportati molteplici formati di trasporto dati per lo stesso modello dati, essi devono rappresentare lo stesso contenuto informativo in modo coerente e senza perdita di significato.</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La rappresentazione dovrebbe supportare la validazione mediante schemi, grammatiche o equivalenti vincoli leggibili meccanicamente pubblicati apertamente, laddove tali meccanismi di validazione esistano per il formato prescelto.</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Ove opportuno, dovrebbe essere possibile creare «profili applicativi» per un modello dati, così da poter aggiungere o specificare attributi specifici del caso d'uso senza modificare il modello dati sottostante</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I Profili di Applicazione che estendono un modello dati non dovrebbero avere impatti sul modello preesistente e sui suoi utenti</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Le specializzazioni o estensioni introdotte nel Profilo di Applicazione del modello dovrebbero essere ben documentate, separatamente dal modello dati di base</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Specifica completa: </w:t>
      </w:r>
      <w:hyperlink r:id="rId15">
        <w:r>
          <w:rPr>
            <w:color w:val="2F3F9E"/>
            <w:u w:val="single"/>
            <w:sz w:val="18"/>
          </w:rPr>
          <w:t>https://mims.oascities.org/representing-data</w:t>
        </w:r>
      </w:hyperlink>
    </w:p>
    <w:p>
      <w:r>
        <w:br w:type="page"/>
      </w:r>
    </w:p>
    <w:p>
      <w:pPr>
        <w:spacing w:before="120" w:after="40"/>
      </w:pPr>
      <w:r>
        <w:rPr>
          <w:b/>
          <w:i w:val="0"/>
          <w:color w:val="2F3F9E"/>
          <w:sz w:val="36"/>
        </w:rPr>
        <w:t>MIM3 · Possiamo condividere a condizioni chiare?</w:t>
      </w:r>
    </w:p>
    <w:p>
      <w:pPr>
        <w:spacing w:before="40" w:after="40"/>
      </w:pPr>
      <w:r>
        <w:rPr>
          <w:b w:val="0"/>
          <w:i w:val="0"/>
          <w:color w:val="646B82"/>
          <w:sz w:val="20"/>
        </w:rPr>
        <w:t xml:space="preserve">Scambio di dati   </w:t>
      </w:r>
      <w:hyperlink r:id="rId16">
        <w:r>
          <w:rPr>
            <w:color w:val="2F3F9E"/>
            <w:u w:val="single"/>
            <w:sz w:val="17.0"/>
          </w:rPr>
          <w:t>mims.oascities.org/exchanging-data</w:t>
        </w:r>
      </w:hyperlink>
    </w:p>
    <w:p>
      <w:pPr>
        <w:spacing w:before="120" w:after="200"/>
      </w:pPr>
      <w:r>
        <w:rPr>
          <w:b w:val="0"/>
          <w:i w:val="0"/>
          <w:sz w:val="20"/>
        </w:rPr>
        <w:t>Non tutti i dati comunali possono essere semplicemente pubblicati: alcuni sono commerciali, altri sensibili. MIM3 riguarda comunque la condivisione sicura di tutti gli altri: un catalogo consultabile dagli utenti, licenze basate su modelli standard anziché testi legali ad hoc e regole di governance accessibili a tutti. La specifica formula quasi tutto il MIM3 come raccomandazione (si veda p. 3).</w:t>
      </w:r>
    </w:p>
    <w:p>
      <w:pPr>
        <w:spacing w:before="40" w:after="20"/>
      </w:pPr>
      <w:r>
        <w:rPr>
          <w:b/>
          <w:i w:val="0"/>
          <w:color w:val="2F3F9E"/>
          <w:sz w:val="22"/>
        </w:rPr>
        <w:t xml:space="preserve">☐  </w:t>
      </w:r>
      <w:r>
        <w:rPr>
          <w:b/>
          <w:i w:val="0"/>
          <w:color w:val="2F3F9E"/>
          <w:sz w:val="20"/>
        </w:rPr>
        <w:t xml:space="preserve">3.1  </w:t>
      </w:r>
      <w:r>
        <w:rPr>
          <w:b/>
          <w:i w:val="0"/>
          <w:sz w:val="20"/>
        </w:rPr>
        <w:t>Ogni serie di dati offerta dal sistema è descritta con metadati standard (ad esempio DCAT-AP) in un catalogo, affinché altri possano trovarla.</w:t>
      </w:r>
    </w:p>
    <w:p>
      <w:pPr>
        <w:spacing w:before="40" w:after="140"/>
      </w:pPr>
      <w:r>
        <w:rPr>
          <w:b w:val="0"/>
          <w:i/>
          <w:color w:val="646B82"/>
          <w:sz w:val="18"/>
        </w:rPr>
        <w:t xml:space="preserve">I dati che nessuno trova sono dati che nessuno usa.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Condizioni e licenze per l'uso dei dati derivano da modelli consolidati (es. licenze aperte, accordi standard di condivisione dati), non da testi legali ad hoc per singolo set di dati.</w:t>
      </w:r>
    </w:p>
    <w:p>
      <w:pPr>
        <w:spacing w:before="40" w:after="140"/>
      </w:pPr>
      <w:r>
        <w:rPr>
          <w:b w:val="0"/>
          <w:i/>
          <w:color w:val="646B82"/>
          <w:sz w:val="18"/>
        </w:rPr>
        <w:t xml:space="preserve">Gli accordi scalano senza necessità di verifiche legali caso per caso.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Il comune può stabilire chi può accedere a ciascuna risorsa di dati e a quali condizioni, modificando tali regole senza l'intervento del fornitore.</w:t>
      </w:r>
    </w:p>
    <w:p>
      <w:pPr>
        <w:spacing w:before="40" w:after="140"/>
      </w:pPr>
      <w:r>
        <w:rPr>
          <w:b w:val="0"/>
          <w:i/>
          <w:color w:val="646B82"/>
          <w:sz w:val="18"/>
        </w:rPr>
        <w:t xml:space="preserve">La governance resta in capo all'amministrazione comunale.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PERCHÉ È IMPORTANTE</w:t>
            </w:r>
          </w:p>
          <w:p>
            <w:pPr>
              <w:spacing w:before="20" w:after="60"/>
            </w:pPr>
            <w:r>
              <w:rPr>
                <w:b/>
                <w:i w:val="0"/>
                <w:color w:val="2F3F9E"/>
                <w:sz w:val="18"/>
              </w:rPr>
              <w:t xml:space="preserve">•  </w:t>
            </w:r>
            <w:r>
              <w:rPr>
                <w:b w:val="0"/>
                <w:i w:val="0"/>
                <w:sz w:val="18"/>
              </w:rPr>
              <w:t>Aziende e ricercatori locali creano valore sui dati comunali — l'indotto resta sul territorio.</w:t>
            </w:r>
          </w:p>
          <w:p>
            <w:pPr>
              <w:spacing w:before="20" w:after="60"/>
            </w:pPr>
            <w:r>
              <w:rPr>
                <w:b/>
                <w:i w:val="0"/>
                <w:color w:val="2F3F9E"/>
                <w:sz w:val="18"/>
              </w:rPr>
              <w:t xml:space="preserve">•  </w:t>
            </w:r>
            <w:r>
              <w:rPr>
                <w:b w:val="0"/>
                <w:i w:val="0"/>
                <w:sz w:val="18"/>
              </w:rPr>
              <w:t>I dati riservati possono essere condivisi solo con partner qualificati, non con tutti o con nessuno.</w:t>
            </w:r>
          </w:p>
          <w:p>
            <w:pPr>
              <w:spacing w:before="20" w:after="60"/>
            </w:pPr>
            <w:r>
              <w:rPr>
                <w:b/>
                <w:i w:val="0"/>
                <w:color w:val="2F3F9E"/>
                <w:sz w:val="18"/>
              </w:rPr>
              <w:t xml:space="preserve">•  </w:t>
            </w:r>
            <w:r>
              <w:rPr>
                <w:b w:val="0"/>
                <w:i w:val="0"/>
                <w:sz w:val="18"/>
              </w:rPr>
              <w:t>Un unico regolamento generale sostituisce decine di singoli contratti di condivisione.</w:t>
            </w:r>
          </w:p>
        </w:tc>
        <w:tc>
          <w:tcPr>
            <w:tcW w:type="dxa" w:w="4986"/>
            <w:shd w:val="clear" w:fill="FBEEEE"/>
          </w:tcPr>
          <w:p>
            <w:pPr>
              <w:spacing w:before="20" w:after="60"/>
            </w:pPr>
            <w:r>
              <w:rPr>
                <w:b/>
                <w:i w:val="0"/>
                <w:color w:val="A02020"/>
                <w:sz w:val="18"/>
              </w:rPr>
              <w:t>SEGNALI D'ALLARME</w:t>
            </w:r>
          </w:p>
          <w:p>
            <w:pPr>
              <w:spacing w:before="20" w:after="60"/>
            </w:pPr>
            <w:r>
              <w:rPr>
                <w:b/>
                <w:i w:val="0"/>
                <w:color w:val="A02020"/>
                <w:sz w:val="18"/>
              </w:rPr>
              <w:t xml:space="preserve">•  </w:t>
            </w:r>
            <w:r>
              <w:rPr>
                <w:b w:val="0"/>
                <w:i w:val="0"/>
                <w:sz w:val="18"/>
              </w:rPr>
              <w:t>Il fornitore rivendica diritti sui dati del comune (si veda la clausola «Diritti sui dati»).</w:t>
            </w:r>
          </w:p>
          <w:p>
            <w:pPr>
              <w:spacing w:before="20" w:after="60"/>
            </w:pPr>
            <w:r>
              <w:rPr>
                <w:b/>
                <w:i w:val="0"/>
                <w:color w:val="A02020"/>
                <w:sz w:val="18"/>
              </w:rPr>
              <w:t xml:space="preserve">•  </w:t>
            </w:r>
            <w:r>
              <w:rPr>
                <w:b w:val="0"/>
                <w:i w:val="0"/>
                <w:sz w:val="18"/>
              </w:rPr>
              <w:t>La condivisione con terzi richiede il consenso o il pagamento di canoni al fornitore.</w:t>
            </w:r>
          </w:p>
        </w:tc>
      </w:tr>
    </w:tbl>
    <w:p>
      <w:pPr>
        <w:spacing w:before="280" w:after="40"/>
      </w:pPr>
      <w:r>
        <w:rPr>
          <w:b/>
          <w:i w:val="0"/>
          <w:color w:val="2F3F9E"/>
          <w:sz w:val="26"/>
        </w:rPr>
        <w:t>Cosa dice la specifica</w:t>
      </w:r>
    </w:p>
    <w:p>
      <w:pPr>
        <w:spacing w:before="40" w:after="120"/>
      </w:pPr>
      <w:r>
        <w:rPr>
          <w:b w:val="0"/>
          <w:i w:val="0"/>
          <w:color w:val="646B82"/>
          <w:sz w:val="18"/>
        </w:rPr>
        <w:t>Ogni requisito di questo MIM, testuale da MIMs Plus 9.0: La specifica esiste solo in lingua inglese: il testo in italiano è una traduzione non ufficiale a cura dell'autore di questa guida; il testo originale inglese sottostante fa fede.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 regole di governance per l'ecosistema di condivisione dei dati possono essere definite</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L'orchestratore di un ecosistema di dati dovrebbe essere in grado di definire un modello di governance (ad es. un regolamento) che delinei le regole di adesione, i ruoli, le responsabilità e gli obblighi dei partecipanti all'ecosistema, nonché i principi generali che ne regolano lo scambio di dati.</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I membri che partecipano a un ecosistema di dati dovrebbero essere a conoscenza del suo modello di governance e di qualsiasi modifica apportata allo stesso.</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Il modello di governance dovrebbe essere facilmente comprensibile da parte di tutti i partecipanti all'ecosistema.</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Termini e condizioni per la condivisione dei dati possono essere definiti</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I fornitori di dati sono liberi di definire i termini e le condizioni a cui desiderano che i propri dati vengano scambiati. (Nota: prima di condividere risorse di dati, i fornitori di dati dovrebbero assicurarsi di disporre dell'adeguata autorizzazione da parte dei titolari dei dati.)</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Termini e condizioni per lo scambio di dati dovrebbero essere descritti in modo chiaro e inequivocabile affinché risultino facilmente comprensibili agli utenti dei dati.</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Termini e condizioni per lo scambio di dati dovrebbero essere espressi mediante licenze sui dati o accordi di condivisione dei dati basati su modelli o standard ben definiti.</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Termini e condizioni dovrebbero essere in linea con il modello generale di governance dell'ecosistema di dati e non devono essere in contrasto con esso. (Nota: un fornitore di dati può decidere di non partecipare a un ecosistema di dati se il modello di governance sottostante è troppo restrittivo o troppo permissivo.)</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La conformità ai termini e alle condizioni di condivisione dei dati può essere validata</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L'orchestratore di un ecosistema di dati deve essere in grado di accertare la conformità dei propri partecipanti al modello di governance sottostante.</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I fornitori di dati dovrebbero essere in grado di accertare che l'uso dei dati da parte di un utente dei dati sia conforme ai termini e alle condizioni precedentemente concordati.</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Gli utenti dei dati dovrebbero essere in grado di accertare che la fornitura di dati da parte del fornitore di dati rispetti i termini e le condizioni precedentemente concordati.</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Le risorse di dati disponibili possono essere scoperte</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Gli utenti dei dati dovrebbero essere in grado di scoprire quali dati sono disponibili in un ecosistema di condivisione dei dati senza averne conoscenza preventiva.</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Le risorse di dati dovrebbero essere adeguatamente descritte con metadati affinché gli utenti dei dati possano prendere decisioni affidabili in merito all'uso ulteriore a cui sono destinate.</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I metadati utilizzati per descrivere le risorse di dati dovrebbero basarsi su formati di descrizione ben definiti e facili da comprendere, che siano leggibili sia dall'uomo sia da una macchina.</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I partecipanti all'ecosistema possono essere scoperti</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I partecipanti all'ecosistema (ad es. utenti e fornitori di dati) dovrebbero essere in grado di scoprirsi reciprocamente all'interno di un ecosistema di condivisione dei dati.</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Metadati sufficienti su ciascun partecipante all'ecosistema dovrebbero essere disponibili per accertarne l'affidabilità rilevante ai fini dello scambio di dati.</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I fornitori di dati dovrebbero essere in grado di identificare in modo affidabile gli utenti dei dati che intendono accedere alle loro risorse di dati e di verificarne i metadati prima di concedere l'accesso.</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Gli utenti dei dati dovrebbero essere in grado di identificare i fornitori di dati che condividono dati in un ecosistema di dati prima di accedere a tali dati o di utilizzarli.</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I partecipanti all'ecosistema possono anche scegliere di rimanere anonimi se il modello di governance dell'ecosistema di condivisione dei dati lo consente. In questo caso, i requisiti da RC5.1 a RC5.4 possono essere ignorati.</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Lo scambio di dati può essere concordato</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Gli utenti e i fornitori di dati dovrebbero essere in grado di concordare uno scambio di dati e i relativi termini e condizioni (ad es. accettazione dei termini, firma formale di un accordo o negoziazione).</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Gli utenti e i fornitori di dati dovrebbero essere in grado di risolvere uno scambio di dati precedentemente concordato in conformità con i termini e le condizioni a esso associati.</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Ove possibile, possono essere forniti strumenti elettronici per la stipula e la risoluzione di uno scambio di dati.</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Nuovi dati attualmente non disponibili possono essere richiesti</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Gli utenti dei dati dovrebbero essere in grado di esprimere il proprio interesse per risorse di dati attualmente non disponibili nell'ecosistema di condivisione dei dati.</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I fornitori di dati dovrebbero essere in grado di ricevere le richieste avanzate dagli utenti dei dati per nuove risorse di dati.</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Specifica completa: </w:t>
      </w:r>
      <w:hyperlink r:id="rId16">
        <w:r>
          <w:rPr>
            <w:color w:val="2F3F9E"/>
            <w:u w:val="single"/>
            <w:sz w:val="18"/>
          </w:rPr>
          <w:t>https://mims.oascities.org/exchanging-data</w:t>
        </w:r>
      </w:hyperlink>
    </w:p>
    <w:p>
      <w:r>
        <w:br w:type="page"/>
      </w:r>
    </w:p>
    <w:p>
      <w:pPr>
        <w:spacing w:before="120" w:after="40"/>
      </w:pPr>
      <w:r>
        <w:rPr>
          <w:b/>
          <w:i w:val="0"/>
          <w:color w:val="2F3F9E"/>
          <w:sz w:val="36"/>
        </w:rPr>
        <w:t>MIM6 · I nostri dati sono al sicuro?</w:t>
      </w:r>
    </w:p>
    <w:p>
      <w:pPr>
        <w:spacing w:before="40" w:after="40"/>
      </w:pPr>
      <w:r>
        <w:rPr>
          <w:b w:val="0"/>
          <w:i w:val="0"/>
          <w:color w:val="646B82"/>
          <w:sz w:val="20"/>
        </w:rPr>
        <w:t xml:space="preserve">Sicurezza dei dati   </w:t>
      </w:r>
      <w:hyperlink r:id="rId17">
        <w:r>
          <w:rPr>
            <w:color w:val="2F3F9E"/>
            <w:u w:val="single"/>
            <w:sz w:val="17.0"/>
          </w:rPr>
          <w:t>mims.oascities.org/securing-data</w:t>
        </w:r>
      </w:hyperlink>
    </w:p>
    <w:p>
      <w:pPr>
        <w:spacing w:before="120" w:after="200"/>
      </w:pPr>
      <w:r>
        <w:rPr>
          <w:b w:val="0"/>
          <w:i w:val="0"/>
          <w:sz w:val="20"/>
        </w:rPr>
        <w:t>Le smart city sono bersagli sensibili. MIM6 mantiene un perimetro mirato e concreto: cifrare i dati in transito, adottare sistemi di autenticazione standard anziché proprietari, controllare e registrare chi accede a cosa. Nulla di esotico — ma ogni elemento deve figurare nel contratto.</w:t>
      </w:r>
    </w:p>
    <w:p>
      <w:pPr>
        <w:spacing w:before="40" w:after="20"/>
      </w:pPr>
      <w:r>
        <w:rPr>
          <w:b/>
          <w:i w:val="0"/>
          <w:color w:val="2F3F9E"/>
          <w:sz w:val="22"/>
        </w:rPr>
        <w:t xml:space="preserve">☐  </w:t>
      </w:r>
      <w:r>
        <w:rPr>
          <w:b/>
          <w:i w:val="0"/>
          <w:color w:val="2F3F9E"/>
          <w:sz w:val="20"/>
        </w:rPr>
        <w:t xml:space="preserve">6.1  </w:t>
      </w:r>
      <w:r>
        <w:rPr>
          <w:b/>
          <w:i w:val="0"/>
          <w:sz w:val="20"/>
        </w:rPr>
        <w:t>Tutti i trasferimenti di dati sono cifrati (TLS 1.3 o le migliori prassi attuali).</w:t>
      </w:r>
    </w:p>
    <w:p>
      <w:pPr>
        <w:spacing w:before="40" w:after="140"/>
      </w:pPr>
      <w:r>
        <w:rPr>
          <w:b w:val="0"/>
          <w:i/>
          <w:color w:val="646B82"/>
          <w:sz w:val="18"/>
        </w:rPr>
        <w:t xml:space="preserve">Sicurezza informatica di base; richiesta anche dalla direttiva NIS 2 ove applicabile.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L'autenticazione di utenti e applicazioni usa standard aperti — OAuth 2.0 / OpenID Connect — e si integra con il provider di identità del comune.</w:t>
      </w:r>
    </w:p>
    <w:p>
      <w:pPr>
        <w:spacing w:before="40" w:after="140"/>
      </w:pPr>
      <w:r>
        <w:rPr>
          <w:b w:val="0"/>
          <w:i/>
          <w:color w:val="646B82"/>
          <w:sz w:val="18"/>
        </w:rPr>
        <w:t xml:space="preserve">Una sola utenza per dipendente, non una per fornitore; chi lascia l'ente perde subito ogni accesso.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I diritti di accesso si basano su ruoli, sono revocabili e verificabili; gli accessi e le operazioni di amministrazione sono registrati.</w:t>
      </w:r>
    </w:p>
    <w:p>
      <w:pPr>
        <w:spacing w:before="40" w:after="140"/>
      </w:pPr>
      <w:r>
        <w:rPr>
          <w:b w:val="0"/>
          <w:i/>
          <w:color w:val="646B82"/>
          <w:sz w:val="18"/>
        </w:rPr>
        <w:t xml:space="preserve">Verifiche ispettive e gestione degli incidenti diventano possibili. Il logging è previsto dal controllo 8.15 dell'ISO/IEC 27001:2022, prerequisito di MIM6.   </w:t>
      </w:r>
      <w:r>
        <w:rPr>
          <w:b w:val="0"/>
          <w:i w:val="0"/>
          <w:color w:val="0B7485"/>
          <w:sz w:val="16"/>
        </w:rPr>
        <w:t>→ MIM6 R1.1, R1.3, 8.15</w:t>
      </w:r>
    </w:p>
    <w:p>
      <w:pPr>
        <w:spacing w:before="40" w:after="0"/>
      </w:pPr>
      <w:r>
        <w:rPr>
          <w:b/>
          <w:i w:val="0"/>
          <w:color w:val="0B7485"/>
          <w:sz w:val="16"/>
        </w:rPr>
        <w:t>DA INSERIRE NEI CRITERI DI SELEZIONE, NON NELLE SPECIFICHE TECNICHE</w:t>
      </w:r>
    </w:p>
    <w:p>
      <w:pPr>
        <w:spacing w:before="40" w:after="20"/>
      </w:pPr>
      <w:r>
        <w:rPr>
          <w:b/>
          <w:i w:val="0"/>
          <w:color w:val="2F3F9E"/>
          <w:sz w:val="22"/>
        </w:rPr>
        <w:t xml:space="preserve">☐  </w:t>
      </w:r>
      <w:r>
        <w:rPr>
          <w:b/>
          <w:i w:val="0"/>
          <w:color w:val="2F3F9E"/>
          <w:sz w:val="20"/>
        </w:rPr>
        <w:t xml:space="preserve">6.4  </w:t>
      </w:r>
      <w:r>
        <w:rPr>
          <w:b/>
          <w:i w:val="0"/>
          <w:sz w:val="20"/>
        </w:rPr>
        <w:t>L'offerente dimostra l'allineamento a ISO/IEC 27001:2022 (o equivalente) per il servizio gestito.</w:t>
      </w:r>
    </w:p>
    <w:p>
      <w:pPr>
        <w:spacing w:before="40" w:after="140"/>
      </w:pPr>
      <w:r>
        <w:rPr>
          <w:b w:val="0"/>
          <w:i/>
          <w:color w:val="646B82"/>
          <w:sz w:val="18"/>
        </w:rPr>
        <w:t xml:space="preserve">La sicurezza è un processo continuo, non una casella da spuntare alla consegna. La specifica cita i controlli ISO/IEC 27001, non un certificato formale.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PERCHÉ È IMPORTANTE</w:t>
            </w:r>
          </w:p>
          <w:p>
            <w:pPr>
              <w:spacing w:before="20" w:after="60"/>
            </w:pPr>
            <w:r>
              <w:rPr>
                <w:b/>
                <w:i w:val="0"/>
                <w:color w:val="2F3F9E"/>
                <w:sz w:val="18"/>
              </w:rPr>
              <w:t xml:space="preserve">•  </w:t>
            </w:r>
            <w:r>
              <w:rPr>
                <w:b w:val="0"/>
                <w:i w:val="0"/>
                <w:sz w:val="18"/>
              </w:rPr>
              <w:t>Una violazione in un sistema non apre ogni sistema.</w:t>
            </w:r>
          </w:p>
          <w:p>
            <w:pPr>
              <w:spacing w:before="20" w:after="60"/>
            </w:pPr>
            <w:r>
              <w:rPr>
                <w:b/>
                <w:i w:val="0"/>
                <w:color w:val="2F3F9E"/>
                <w:sz w:val="18"/>
              </w:rPr>
              <w:t xml:space="preserve">•  </w:t>
            </w:r>
            <w:r>
              <w:rPr>
                <w:b w:val="0"/>
                <w:i w:val="0"/>
                <w:sz w:val="18"/>
              </w:rPr>
              <w:t>Ove applicabile la direttiva NIS 2, rispettare le norme nazionali sulla cibersicurezza risulta assai più agevole.</w:t>
            </w:r>
          </w:p>
          <w:p>
            <w:pPr>
              <w:spacing w:before="20" w:after="60"/>
            </w:pPr>
            <w:r>
              <w:rPr>
                <w:b/>
                <w:i w:val="0"/>
                <w:color w:val="2F3F9E"/>
                <w:sz w:val="18"/>
              </w:rPr>
              <w:t xml:space="preserve">•  </w:t>
            </w:r>
            <w:r>
              <w:rPr>
                <w:b w:val="0"/>
                <w:i w:val="0"/>
                <w:sz w:val="18"/>
              </w:rPr>
              <w:t>Dopo un incidente, i registri mostrano cosa è successo e chi ha agito.</w:t>
            </w:r>
          </w:p>
        </w:tc>
        <w:tc>
          <w:tcPr>
            <w:tcW w:type="dxa" w:w="4986"/>
            <w:shd w:val="clear" w:fill="FBEEEE"/>
          </w:tcPr>
          <w:p>
            <w:pPr>
              <w:spacing w:before="20" w:after="60"/>
            </w:pPr>
            <w:r>
              <w:rPr>
                <w:b/>
                <w:i w:val="0"/>
                <w:color w:val="A02020"/>
                <w:sz w:val="18"/>
              </w:rPr>
              <w:t>SEGNALI D'ALLARME</w:t>
            </w:r>
          </w:p>
          <w:p>
            <w:pPr>
              <w:spacing w:before="20" w:after="60"/>
            </w:pPr>
            <w:r>
              <w:rPr>
                <w:b/>
                <w:i w:val="0"/>
                <w:color w:val="A02020"/>
                <w:sz w:val="18"/>
              </w:rPr>
              <w:t xml:space="preserve">•  </w:t>
            </w:r>
            <w:r>
              <w:rPr>
                <w:b w:val="0"/>
                <w:i w:val="0"/>
                <w:sz w:val="18"/>
              </w:rPr>
              <w:t>Solo accesso proprietario.</w:t>
            </w:r>
          </w:p>
          <w:p>
            <w:pPr>
              <w:spacing w:before="20" w:after="60"/>
            </w:pPr>
            <w:r>
              <w:rPr>
                <w:b/>
                <w:i w:val="0"/>
                <w:color w:val="A02020"/>
                <w:sz w:val="18"/>
              </w:rPr>
              <w:t xml:space="preserve">•  </w:t>
            </w:r>
            <w:r>
              <w:rPr>
                <w:b w:val="0"/>
                <w:i w:val="0"/>
                <w:sz w:val="18"/>
              </w:rPr>
              <w:t>«Log disponibili su richiesta.»</w:t>
            </w:r>
          </w:p>
          <w:p>
            <w:pPr>
              <w:spacing w:before="20" w:after="60"/>
            </w:pPr>
            <w:r>
              <w:rPr>
                <w:b/>
                <w:i w:val="0"/>
                <w:color w:val="A02020"/>
                <w:sz w:val="18"/>
              </w:rPr>
              <w:t xml:space="preserve">•  </w:t>
            </w:r>
            <w:r>
              <w:rPr>
                <w:b w:val="0"/>
                <w:i w:val="0"/>
                <w:sz w:val="18"/>
              </w:rPr>
              <w:t>Account amministrativi condivisi.</w:t>
            </w:r>
          </w:p>
        </w:tc>
      </w:tr>
    </w:tbl>
    <w:p>
      <w:pPr>
        <w:spacing w:before="280" w:after="40"/>
      </w:pPr>
      <w:r>
        <w:rPr>
          <w:b/>
          <w:i w:val="0"/>
          <w:color w:val="2F3F9E"/>
          <w:sz w:val="26"/>
        </w:rPr>
        <w:t>Cosa dice la specifica</w:t>
      </w:r>
    </w:p>
    <w:p>
      <w:pPr>
        <w:spacing w:before="40" w:after="120"/>
      </w:pPr>
      <w:r>
        <w:rPr>
          <w:b w:val="0"/>
          <w:i w:val="0"/>
          <w:color w:val="646B82"/>
          <w:sz w:val="18"/>
        </w:rPr>
        <w:t>Ogni requisito di questo MIM, testuale da MIMs Plus 9.0: La specifica esiste solo in lingua inglese: il testo in italiano è una traduzione non ufficiale a cura dell'autore di questa guida; il testo originale inglese sottostante fa fede.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I dati sono accessibili esclusivamente agli utenti che dovrebbero avervi accesso</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Le regole per il controllo dell'accesso fisico e logico alle informazioni e agli altri asset associati DEVONO essere definite e implementate sulla base dei requisiti di business e di sicurezza delle informazioni. (ISO 27001 5.15 Controllo degli accessi)</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L'assegnazione e la gestione delle informazioni di autenticazione DEVONO essere regolate da un processo di gestione, compresa l'istruzione del personale sulla corretta gestione delle informazioni di autenticazione. (ISO 27001 5.17: Informazioni di autenticazione)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I diritti di accesso alle informazioni e agli altri asset associati DEVONO essere assegnati, riesaminati, modificati e revocati in conformità alla specifica politica dell'organizzazione e alle regole per il controllo degli accessi. (ISO 27001 5.18: Diritti di accesso)</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 dati a cui gli utenti accedono non hanno subito alterazioni</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Le regole per l'uso efficace della crittografia, compresa la gestione delle chiavi crittografiche, DEVONO essere definite e implementate. (ISO 27001 8.24 Uso della crittografia)</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 dati a cui gli utenti accedono provengono da una sorgente verificata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Le tecnologie e le procedure di autenticazione sicura devono essere implementate sulla base delle restrizioni di accesso alle informazioni e della politica specifica per il controllo degli accessi. (ISO 27001 8.5 Autenticazione sicura)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Candidato al meccanismo</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Il protocollo Transport Layer Security (TLS), Versione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Il framework di autorizzazione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Livello di identità per l'autenticazione su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per il rilascio e la presentazione di credenziali verificabili</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Prerequisiti e requisiti successivi (basati su ISO 27001 Allegato A): il controllo a cui fa riferimento questa guida</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Registrazione delle attività (logging). I registri che tengono traccia di attività, eccezioni, anomalie e altri eventi rilevanti devono essere prodotti, archiviati, protetti e analizzati.</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Specifica completa: </w:t>
      </w:r>
      <w:hyperlink r:id="rId17">
        <w:r>
          <w:rPr>
            <w:color w:val="2F3F9E"/>
            <w:u w:val="single"/>
            <w:sz w:val="18"/>
          </w:rPr>
          <w:t>https://mims.oascities.org/securing-data</w:t>
        </w:r>
      </w:hyperlink>
    </w:p>
    <w:p>
      <w:r>
        <w:br w:type="page"/>
      </w:r>
    </w:p>
    <w:p>
      <w:pPr>
        <w:spacing w:before="120" w:after="40"/>
      </w:pPr>
      <w:r>
        <w:rPr>
          <w:b/>
          <w:i w:val="0"/>
          <w:color w:val="2F3F9E"/>
          <w:sz w:val="36"/>
        </w:rPr>
        <w:t>MIM7 · Funziona su una mappa?</w:t>
      </w:r>
    </w:p>
    <w:p>
      <w:pPr>
        <w:spacing w:before="40" w:after="40"/>
      </w:pPr>
      <w:r>
        <w:rPr>
          <w:b w:val="0"/>
          <w:i w:val="0"/>
          <w:color w:val="646B82"/>
          <w:sz w:val="20"/>
        </w:rPr>
        <w:t xml:space="preserve">Dati geospaziali   </w:t>
      </w:r>
      <w:hyperlink r:id="rId18">
        <w:r>
          <w:rPr>
            <w:color w:val="2F3F9E"/>
            <w:u w:val="single"/>
            <w:sz w:val="17.0"/>
          </w:rPr>
          <w:t>mims.oascities.org/geospatial-data</w:t>
        </w:r>
      </w:hyperlink>
    </w:p>
    <w:p>
      <w:pPr>
        <w:spacing w:before="120" w:after="200"/>
      </w:pPr>
      <w:r>
        <w:rPr>
          <w:b w:val="0"/>
          <w:i w:val="0"/>
          <w:sz w:val="20"/>
        </w:rPr>
        <w:t>Quasi ogni risorsa di una città ha una collocazione nello spazio. MIM7 assicura che tale posizione non sia una mera schermata grafica: i dati spaziali transitano mediante interfacce OGC standard, in formati aperti, con sistema di coordinate sempre dichiarato — affinché ogni strato cartografico acquisito si sovrapponga a quelli già in uso.</w:t>
      </w:r>
    </w:p>
    <w:p>
      <w:pPr>
        <w:spacing w:before="40" w:after="20"/>
      </w:pPr>
      <w:r>
        <w:rPr>
          <w:b/>
          <w:i w:val="0"/>
          <w:color w:val="2F3F9E"/>
          <w:sz w:val="22"/>
        </w:rPr>
        <w:t xml:space="preserve">☐  </w:t>
      </w:r>
      <w:r>
        <w:rPr>
          <w:b/>
          <w:i w:val="0"/>
          <w:color w:val="2F3F9E"/>
          <w:sz w:val="20"/>
        </w:rPr>
        <w:t xml:space="preserve">7.1  </w:t>
      </w:r>
      <w:r>
        <w:rPr>
          <w:b/>
          <w:i w:val="0"/>
          <w:sz w:val="20"/>
        </w:rPr>
        <w:t>I dati geospaziali sono esposti mediante interfacce standardizzate (OGC API Features, SensorThings; WFS accettato per sistemi preesistenti).</w:t>
      </w:r>
    </w:p>
    <w:p>
      <w:pPr>
        <w:spacing w:before="40" w:after="140"/>
      </w:pPr>
      <w:r>
        <w:rPr>
          <w:b w:val="0"/>
          <w:i/>
          <w:color w:val="646B82"/>
          <w:sz w:val="18"/>
        </w:rPr>
        <w:t xml:space="preserve">Qualsiasi applicativo GIS disponibile sul mercato può leggerli nativamente.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I dati geospaziali sono codificati in formati aperti (GeoJSON, CityJSON; GML/CityGML ove prescritto).</w:t>
      </w:r>
    </w:p>
    <w:p>
      <w:pPr>
        <w:spacing w:before="40" w:after="140"/>
      </w:pPr>
      <w:r>
        <w:rPr>
          <w:b w:val="0"/>
          <w:i/>
          <w:color w:val="646B82"/>
          <w:sz w:val="18"/>
        </w:rPr>
        <w:t xml:space="preserve">Nessuna licenza di conversione, nessun vicolo cieco.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Il sistema di coordinate di riferimento è sempre dichiarato (codice EPSG) e i dati sono convertibili in un CRS comune.</w:t>
      </w:r>
    </w:p>
    <w:p>
      <w:pPr>
        <w:spacing w:before="40" w:after="140"/>
      </w:pPr>
      <w:r>
        <w:rPr>
          <w:b w:val="0"/>
          <w:i/>
          <w:color w:val="646B82"/>
          <w:sz w:val="18"/>
        </w:rPr>
        <w:t xml:space="preserve">I diversi strati informativi cartografici combaciano perfettamente sulla mappa.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Gli elementi spaziali utilizzano gli stessi identificatori persistenti previsti da MIM1.</w:t>
      </w:r>
    </w:p>
    <w:p>
      <w:pPr>
        <w:spacing w:before="40" w:after="140"/>
      </w:pPr>
      <w:r>
        <w:rPr>
          <w:b w:val="0"/>
          <w:i/>
          <w:color w:val="646B82"/>
          <w:sz w:val="18"/>
        </w:rPr>
        <w:t xml:space="preserve">Il punto visualizzato sulla mappa e la voce presente nel registro descrivono la medesima cosa.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PERCHÉ È IMPORTANTE</w:t>
            </w:r>
          </w:p>
          <w:p>
            <w:pPr>
              <w:spacing w:before="20" w:after="60"/>
            </w:pPr>
            <w:r>
              <w:rPr>
                <w:b/>
                <w:i w:val="0"/>
                <w:color w:val="2F3F9E"/>
                <w:sz w:val="18"/>
              </w:rPr>
              <w:t xml:space="preserve">•  </w:t>
            </w:r>
            <w:r>
              <w:rPr>
                <w:b w:val="0"/>
                <w:i w:val="0"/>
                <w:sz w:val="18"/>
              </w:rPr>
              <w:t>Un’unica mappa cittadina invece di dieci visualizzatori di singoli fornitori.</w:t>
            </w:r>
          </w:p>
          <w:p>
            <w:pPr>
              <w:spacing w:before="20" w:after="60"/>
            </w:pPr>
            <w:r>
              <w:rPr>
                <w:b/>
                <w:i w:val="0"/>
                <w:color w:val="2F3F9E"/>
                <w:sz w:val="18"/>
              </w:rPr>
              <w:t xml:space="preserve">•  </w:t>
            </w:r>
            <w:r>
              <w:rPr>
                <w:b w:val="0"/>
                <w:i w:val="0"/>
                <w:sz w:val="18"/>
              </w:rPr>
              <w:t>Rispettare gli obblighi della direttiva INSPIRE e dei geoportali nazionali diventa più semplice.</w:t>
            </w:r>
          </w:p>
          <w:p>
            <w:pPr>
              <w:spacing w:before="20" w:after="60"/>
            </w:pPr>
            <w:r>
              <w:rPr>
                <w:b/>
                <w:i w:val="0"/>
                <w:color w:val="2F3F9E"/>
                <w:sz w:val="18"/>
              </w:rPr>
              <w:t xml:space="preserve">•  </w:t>
            </w:r>
            <w:r>
              <w:rPr>
                <w:b w:val="0"/>
                <w:i w:val="0"/>
                <w:sz w:val="18"/>
              </w:rPr>
              <w:t>I dati 3D e BIM possono unirsi al medesimo quadro in seguito.</w:t>
            </w:r>
          </w:p>
        </w:tc>
        <w:tc>
          <w:tcPr>
            <w:tcW w:type="dxa" w:w="4986"/>
            <w:shd w:val="clear" w:fill="FBEEEE"/>
          </w:tcPr>
          <w:p>
            <w:pPr>
              <w:spacing w:before="20" w:after="60"/>
            </w:pPr>
            <w:r>
              <w:rPr>
                <w:b/>
                <w:i w:val="0"/>
                <w:color w:val="A02020"/>
                <w:sz w:val="18"/>
              </w:rPr>
              <w:t>SEGNALI D'ALLARME</w:t>
            </w:r>
          </w:p>
          <w:p>
            <w:pPr>
              <w:spacing w:before="20" w:after="60"/>
            </w:pPr>
            <w:r>
              <w:rPr>
                <w:b/>
                <w:i w:val="0"/>
                <w:color w:val="A02020"/>
                <w:sz w:val="18"/>
              </w:rPr>
              <w:t xml:space="preserve">•  </w:t>
            </w:r>
            <w:r>
              <w:rPr>
                <w:b w:val="0"/>
                <w:i w:val="0"/>
                <w:sz w:val="18"/>
              </w:rPr>
              <w:t>I dati cartografici risiedono solo nel visualizzatore del fornitore.</w:t>
            </w:r>
          </w:p>
          <w:p>
            <w:pPr>
              <w:spacing w:before="20" w:after="60"/>
            </w:pPr>
            <w:r>
              <w:rPr>
                <w:b/>
                <w:i w:val="0"/>
                <w:color w:val="A02020"/>
                <w:sz w:val="18"/>
              </w:rPr>
              <w:t xml:space="preserve">•  </w:t>
            </w:r>
            <w:r>
              <w:rPr>
                <w:b w:val="0"/>
                <w:i w:val="0"/>
                <w:sz w:val="18"/>
              </w:rPr>
              <w:t>«Esportazione come PDF/schermata.»</w:t>
            </w:r>
          </w:p>
        </w:tc>
      </w:tr>
    </w:tbl>
    <w:p>
      <w:pPr>
        <w:spacing w:before="280" w:after="40"/>
      </w:pPr>
      <w:r>
        <w:rPr>
          <w:b/>
          <w:i w:val="0"/>
          <w:color w:val="2F3F9E"/>
          <w:sz w:val="26"/>
        </w:rPr>
        <w:t>Cosa dice la specifica</w:t>
      </w:r>
    </w:p>
    <w:p>
      <w:pPr>
        <w:spacing w:before="40" w:after="120"/>
      </w:pPr>
      <w:r>
        <w:rPr>
          <w:b w:val="0"/>
          <w:i w:val="0"/>
          <w:color w:val="646B82"/>
          <w:sz w:val="18"/>
        </w:rPr>
        <w:t>Ogni requisito di questo MIM, testuale da MIMs Plus 9.0: La specifica esiste solo in lingua inglese: il testo in italiano è una traduzione non ufficiale a cura dell'autore di questa guida; il testo originale inglese sottostante fa fede.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Città e comunità possono trasferire agevolmente dati geospaziali tra sistemi informatici interni ed esterni (inclusi quelli correlati all'IoT)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I dati geospaziali devono essere esposti mediante un'interfaccia di servizio web basata su standard.</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Città e comunità possono integrare dati geospaziali 2D e 3D provenienti da fonti eterogenee, come dati geografici e modelli BIM, condividendoli al proprio interno e tra loro in modo interoperabile</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I dati geospaziali devono essere codificati utilizzando standard aperti. Si raccomanda di utilizzare gli standard pertinenti di OGC e di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Città e comunità possono integrare i dati geospaziali con altri dati in grado di offrire maggiori informazioni sul contesto</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Tutte le serie di dati utilizzate per fornire ulteriori informazioni sul contesto coperto dai dati geospaziali devono essere conformi a MIM1 e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Città e comunità dispongono di una modalità coerente e persistente per descrivere le singole istanze di tutti gli elementi, oggetti o entità presenti nelle sorgenti di dati geospaziali</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Devono essere utilizzati identificatori univoci e persistenti per identificare le singole istanze di qualsiasi entità utilizzata nelle serie di dati. (Si veda MIM1: Interconnessione dei dati.)</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I sistemi di riferimento di coordinate (CRS) impiegati nella condivisione dei dati sono facilmente convertibili in un CRS comune</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I sistemi di riferimento di coordinate (CRS) devono essere conformi agli standard e devono essere fornite informazioni in merito allo standard utilizzato (es. EPSG:4326, EPSG:3857). Ciò comprende il codice EPSG o il codice WGS, unitamente alle informazioni su qualsiasi variante basata su sistemi nazionali come il lettone LKS-92, in modo che i dati possano essere convertiti in un CRS comune. (Nota: all'interno dell'UE, per i dati geospaziali è richiesto l'uso di metadati conformi alla direttiva INSPIRE, inclusi i metadati necessari per descrivere le informazioni sul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Specifica completa: </w:t>
      </w:r>
      <w:hyperlink r:id="rId18">
        <w:r>
          <w:rPr>
            <w:color w:val="2F3F9E"/>
            <w:u w:val="single"/>
            <w:sz w:val="18"/>
          </w:rPr>
          <w:t>https://mims.oascities.org/geospatial-data</w:t>
        </w:r>
      </w:hyperlink>
    </w:p>
    <w:p>
      <w:r>
        <w:br w:type="page"/>
      </w:r>
    </w:p>
    <w:p>
      <w:pPr>
        <w:spacing w:before="120" w:after="40"/>
      </w:pPr>
      <w:r>
        <w:rPr>
          <w:b/>
          <w:i w:val="0"/>
          <w:color w:val="2F3F9E"/>
          <w:sz w:val="36"/>
        </w:rPr>
        <w:t>MIM8 · Il nostro gemello digitale può evolversi?</w:t>
      </w:r>
    </w:p>
    <w:p>
      <w:pPr>
        <w:spacing w:before="40" w:after="40"/>
      </w:pPr>
      <w:r>
        <w:rPr>
          <w:b w:val="0"/>
          <w:i w:val="0"/>
          <w:color w:val="646B82"/>
          <w:sz w:val="20"/>
        </w:rPr>
        <w:t xml:space="preserve">Gemelli digitali locali   </w:t>
      </w:r>
      <w:hyperlink r:id="rId19">
        <w:r>
          <w:rPr>
            <w:color w:val="2F3F9E"/>
            <w:u w:val="single"/>
            <w:sz w:val="17.0"/>
          </w:rPr>
          <w:t>mims.oascities.org/local-digital-twins</w:t>
        </w:r>
      </w:hyperlink>
    </w:p>
    <w:p>
      <w:pPr>
        <w:spacing w:before="120" w:after="200"/>
      </w:pPr>
      <w:r>
        <w:rPr>
          <w:b w:val="0"/>
          <w:i w:val="0"/>
          <w:sz w:val="20"/>
        </w:rPr>
        <w:t>Un gemello digitale è un investimento di lungo periodo: dati, modelli 3D, simulazioni, decisioni. MIM8 tutela questo investimento: dati e modelli restano accessibili e documentati, i risultati sono riproducibili e i moduli sviluppati per un progetto possono servire al successivo. Usare questa pagina per piattaforme di gemelli, modelli o strumenti 3D.</w:t>
      </w:r>
    </w:p>
    <w:p>
      <w:pPr>
        <w:spacing w:before="40" w:after="20"/>
      </w:pPr>
      <w:r>
        <w:rPr>
          <w:b/>
          <w:i w:val="0"/>
          <w:color w:val="2F3F9E"/>
          <w:sz w:val="22"/>
        </w:rPr>
        <w:t xml:space="preserve">☐  </w:t>
      </w:r>
      <w:r>
        <w:rPr>
          <w:b/>
          <w:i w:val="0"/>
          <w:color w:val="2F3F9E"/>
          <w:sz w:val="20"/>
        </w:rPr>
        <w:t xml:space="preserve">8.1  </w:t>
      </w:r>
      <w:r>
        <w:rPr>
          <w:b/>
          <w:i w:val="0"/>
          <w:sz w:val="20"/>
        </w:rPr>
        <w:t>Serie di dati, parametri di input e risultati delle simulazioni sono accessibili tramite API (secondo MIM0), non vincolati alla piattaforma.</w:t>
      </w:r>
    </w:p>
    <w:p>
      <w:pPr>
        <w:spacing w:before="40" w:after="140"/>
      </w:pPr>
      <w:r>
        <w:rPr>
          <w:b w:val="0"/>
          <w:i/>
          <w:color w:val="646B82"/>
          <w:sz w:val="18"/>
        </w:rPr>
        <w:t xml:space="preserve">I risultati alimentano relazioni, dashboard e il progetto successivo.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I modelli sono documentati (metodo, parametri, input/output) e invocabili tramite un'interfaccia documentata.</w:t>
      </w:r>
    </w:p>
    <w:p>
      <w:pPr>
        <w:spacing w:before="40" w:after="140"/>
      </w:pPr>
      <w:r>
        <w:rPr>
          <w:b w:val="0"/>
          <w:i/>
          <w:color w:val="646B82"/>
          <w:sz w:val="18"/>
        </w:rPr>
        <w:t xml:space="preserve">Un modello idraulico acquistato una volta può essere riutilizzato da altri uffici e da altri enti.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Gli output utilizzano formati standard (GeoJSON, CityJSON, 3D Tiles, NetCDF…) leggibili da strumenti di terze parti.</w:t>
      </w:r>
    </w:p>
    <w:p>
      <w:pPr>
        <w:spacing w:before="40" w:after="140"/>
      </w:pPr>
      <w:r>
        <w:rPr>
          <w:b w:val="0"/>
          <w:i/>
          <w:color w:val="646B82"/>
          <w:sz w:val="18"/>
        </w:rPr>
        <w:t xml:space="preserve">Visualizzazione e analisi restano mercati concorrenziali.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I flussi di lavoro tracciano la provenienza: quale versione dei dati, quale modello e quali parametri hanno generato un risultato.</w:t>
      </w:r>
    </w:p>
    <w:p>
      <w:pPr>
        <w:spacing w:before="40" w:after="140"/>
      </w:pPr>
      <w:r>
        <w:rPr>
          <w:b w:val="0"/>
          <w:i/>
          <w:color w:val="646B82"/>
          <w:sz w:val="18"/>
        </w:rPr>
        <w:t xml:space="preserve">Le decisioni basate sulle simulazioni possono essere motivate e difese con precisione in seguito.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PERCHÉ È IMPORTANTE</w:t>
            </w:r>
          </w:p>
          <w:p>
            <w:pPr>
              <w:spacing w:before="20" w:after="60"/>
            </w:pPr>
            <w:r>
              <w:rPr>
                <w:b/>
                <w:i w:val="0"/>
                <w:color w:val="2F3F9E"/>
                <w:sz w:val="18"/>
              </w:rPr>
              <w:t xml:space="preserve">•  </w:t>
            </w:r>
            <w:r>
              <w:rPr>
                <w:b w:val="0"/>
                <w:i w:val="0"/>
                <w:sz w:val="18"/>
              </w:rPr>
              <w:t>Il gemello sopravvive al singolo fornitore o budget di progetto.</w:t>
            </w:r>
          </w:p>
          <w:p>
            <w:pPr>
              <w:spacing w:before="20" w:after="60"/>
            </w:pPr>
            <w:r>
              <w:rPr>
                <w:b/>
                <w:i w:val="0"/>
                <w:color w:val="2F3F9E"/>
                <w:sz w:val="18"/>
              </w:rPr>
              <w:t xml:space="preserve">•  </w:t>
            </w:r>
            <w:r>
              <w:rPr>
                <w:b w:val="0"/>
                <w:i w:val="0"/>
                <w:sz w:val="18"/>
              </w:rPr>
              <w:t>Le simulazioni possono essere verificate, ripetute e poste a base delle decisioni dell'ente.</w:t>
            </w:r>
          </w:p>
          <w:p>
            <w:pPr>
              <w:spacing w:before="20" w:after="60"/>
            </w:pPr>
            <w:r>
              <w:rPr>
                <w:b/>
                <w:i w:val="0"/>
                <w:color w:val="2F3F9E"/>
                <w:sz w:val="18"/>
              </w:rPr>
              <w:t xml:space="preserve">•  </w:t>
            </w:r>
            <w:r>
              <w:rPr>
                <w:b w:val="0"/>
                <w:i w:val="0"/>
                <w:sz w:val="18"/>
              </w:rPr>
              <w:t>Modelli e componenti possono essere condivisi tra città.</w:t>
            </w:r>
          </w:p>
        </w:tc>
        <w:tc>
          <w:tcPr>
            <w:tcW w:type="dxa" w:w="4986"/>
            <w:shd w:val="clear" w:fill="FBEEEE"/>
          </w:tcPr>
          <w:p>
            <w:pPr>
              <w:spacing w:before="20" w:after="60"/>
            </w:pPr>
            <w:r>
              <w:rPr>
                <w:b/>
                <w:i w:val="0"/>
                <w:color w:val="A02020"/>
                <w:sz w:val="18"/>
              </w:rPr>
              <w:t>SEGNALI D'ALLARME</w:t>
            </w:r>
          </w:p>
          <w:p>
            <w:pPr>
              <w:spacing w:before="20" w:after="60"/>
            </w:pPr>
            <w:r>
              <w:rPr>
                <w:b/>
                <w:i w:val="0"/>
                <w:color w:val="A02020"/>
                <w:sz w:val="18"/>
              </w:rPr>
              <w:t xml:space="preserve">•  </w:t>
            </w:r>
            <w:r>
              <w:rPr>
                <w:b w:val="0"/>
                <w:i w:val="0"/>
                <w:sz w:val="18"/>
              </w:rPr>
              <w:t>Risultati delle simulazioni consultabili solo all'interno del portale del fornitore.</w:t>
            </w:r>
          </w:p>
          <w:p>
            <w:pPr>
              <w:spacing w:before="20" w:after="60"/>
            </w:pPr>
            <w:r>
              <w:rPr>
                <w:b/>
                <w:i w:val="0"/>
                <w:color w:val="A02020"/>
                <w:sz w:val="18"/>
              </w:rPr>
              <w:t xml:space="preserve">•  </w:t>
            </w:r>
            <w:r>
              <w:rPr>
                <w:b w:val="0"/>
                <w:i w:val="0"/>
                <w:sz w:val="18"/>
              </w:rPr>
              <w:t>Modelli come scatole nere sigillate senza metadati.</w:t>
            </w:r>
          </w:p>
        </w:tc>
      </w:tr>
    </w:tbl>
    <w:p>
      <w:pPr>
        <w:spacing w:before="280" w:after="40"/>
      </w:pPr>
      <w:r>
        <w:rPr>
          <w:b/>
          <w:i w:val="0"/>
          <w:color w:val="2F3F9E"/>
          <w:sz w:val="26"/>
        </w:rPr>
        <w:t>Cosa dice la specifica</w:t>
      </w:r>
    </w:p>
    <w:p>
      <w:pPr>
        <w:spacing w:before="40" w:after="120"/>
      </w:pPr>
      <w:r>
        <w:rPr>
          <w:b w:val="0"/>
          <w:i w:val="0"/>
          <w:color w:val="646B82"/>
          <w:sz w:val="18"/>
        </w:rPr>
        <w:t>Ogni requisito di questo MIM, testuale da MIMs Plus 9.0: La specifica esiste solo in lingua inglese: il testo in italiano è una traduzione non ufficiale a cura dell'autore di questa guida; il testo originale inglese sottostante fa fede.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Fornire l'accesso alle serie di dati impiegate nel gemello digitale locale, compresi dati statici, in tempo reale e di simulazione, nonché ai modelli di calcolo</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Il gemello digitale locale deve fornire l'accesso ai risultati delle simulazioni e agli input dei modelli di calcolo laddove siano necessari nell'ambito dei flussi di lavoro del gemello stesso.</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Il gemello digitale locale dovrebbe distinguere chiaramente tra dati di origine grezzi, dati trasformati pronti per il flusso di lavoro, input dei modelli e output dei modelli.</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Scambiare dati con sistemi esterni e con altri gemelli digitali locali impiegando interfacce interoperabili</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Questa capacità fa affidamento su MIM3 (Scambio di dati) per lo scambio dei dati.</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Riutilizzare modelli deterministici o di IA tra differenti domini, comunità, casi d'uso e/o gemelli digitali locali</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Il modello dovrebbe fornire metadati standard del modello, comprendenti una descrizione dei relativi metodi e parametri, e i parametri dei dati (sia per valore sia per riferimento). A tale scopo dovrebbero essere utilizzati standard comuni di metadati.</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Il modello deve esporre o essere invocabile attraverso un'interfaccia documentata, preferibilmente utilizzando un'API standardizzata nota. La serie di dati che costituisce il risultato del modello deve essere descritta (a livello di dati).</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Un uso affidabile, attendibile ed etico dei metodi innovativi (LLM, IA agentica, ecc.) dovrebbe essere salvaguardato. Le distorsioni (bias) dovrebbero essere ridotte al minimo ove applicabile. I metodi impiegati per garantire ciò dovrebbero essere descritti.</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Il modello deve essere in grado di accedere ai dati per conto dell'utente finale o dell'organizzazione. Si veda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Affinché i dati possano essere utilizzati nei modelli di IA, la provenienza e l'affidabilità dovrebbero essere garantite. In alcuni casi, deve essere indicata una fonte autorevole, come un ente pubblico o un'amministrazione pubblica.</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Coordinare e gestire dati, modelli e flussi di elaborazione all'interno di un gemello digitale locale (intra-LDT) e tra diversi gemelli digitali locali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Il gemello digitale locale supporta flussi di lavoro che connettono sorgenti di dati, trasformazioni dei dati, esecuzione di modelli, processi di simulazione e risultati.</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Il gemello digitale locale concatena le fasi del flusso di lavoro, in cui l'output di una fase può essere utilizzato come input per un'altra.</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Il gemello digitale locale monitora lo stato di esecuzione del flusso di lavoro, compresi i processi completati, non riusciti e interrotti.</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Il gemello digitale locale registra la provenienza del flusso di lavoro, comprese le serie di dati utilizzate (con versione e marca temporale), i modelli eseguiti, i parametri selezionati e i risultati generati.</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Offrire molteplici visualizzazioni di dati e risultati (es. 2D, 3D, dashboard) a partire da dati e modelli sottostanti condivisi per l'interazione e il confronto</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Il gemello digitale locale fornisce metadati che spiegano cosa viene visualizzato, comprendenti marca temporale, ambito spaziale, sorgente di dati e, ove rilevante, ipotesi di scenari e varianti.</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Il gemello digitale locale supporta diversi tipi di visualizzazione interattiva, come mappe 2D, scene 3D, dashboard, report o viste accessibili al pubblico.</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Garantire che i dati scambiati (e i risultati delle simulazioni) all'interno di e tra gemelli digitali locali possano essere interpretati in modo coerente attraverso semantiche condivise o mappate e una chiara provenienza</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Il gemello digitale locale dovrebbe documentare disallineamenti semantici irrisolti, ipotesi o mappature che potrebbero influenzare l'interpretazione, il riutilizzo o il confronto dei risultati.</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Meccanismi (in corso di sviluppo)</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Accesso alle risorse LDT basato su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Formati standardizzati di dati e output</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Orchestrazione dei flussi di lavoro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Accesso a viste multiple di output e visualizzazione</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Specifica completa: </w:t>
      </w:r>
      <w:hyperlink r:id="rId19">
        <w:r>
          <w:rPr>
            <w:color w:val="2F3F9E"/>
            <w:u w:val="single"/>
            <w:sz w:val="18"/>
          </w:rPr>
          <w:t>https://mims.oascities.org/local-digital-twins</w:t>
        </w:r>
      </w:hyperlink>
    </w:p>
    <w:p>
      <w:r>
        <w:br w:type="page"/>
      </w:r>
    </w:p>
    <w:p>
      <w:pPr>
        <w:spacing w:before="120" w:after="40"/>
      </w:pPr>
      <w:r>
        <w:rPr>
          <w:b/>
          <w:i w:val="0"/>
          <w:color w:val="2F3F9E"/>
          <w:sz w:val="36"/>
        </w:rPr>
        <w:t>Clausole contrattuali trasversali</w:t>
      </w:r>
    </w:p>
    <w:p>
      <w:pPr>
        <w:spacing w:before="40" w:after="120"/>
      </w:pPr>
      <w:r>
        <w:rPr>
          <w:b/>
          <w:i w:val="0"/>
          <w:color w:val="0B7485"/>
          <w:sz w:val="22"/>
        </w:rPr>
        <w:t>Misure di tutela contro il lock-in</w:t>
      </w:r>
    </w:p>
    <w:p>
      <w:pPr>
        <w:spacing w:before="40" w:after="200"/>
      </w:pPr>
      <w:r>
        <w:rPr>
          <w:b w:val="0"/>
          <w:i w:val="0"/>
          <w:sz w:val="20"/>
        </w:rPr>
        <w:t>Queste clausole dovrebbero comparire in ogni bando, a prescindere dall'oggetto della fornitura. Derivano dalla prassi degli appalti legata ai MIM e a living-in.eu. La maggior parte non poggia su un singolo requisito tecnico, pertanto non riporta codici di riferimento (il versionamento delle API è anche una raccomandazione di MIM0 C2). Inserirle costa poco; ometterle può costare moltissimo.</w:t>
      </w:r>
    </w:p>
    <w:p>
      <w:pPr>
        <w:spacing w:before="40" w:after="20"/>
      </w:pPr>
      <w:r>
        <w:rPr>
          <w:b/>
          <w:i w:val="0"/>
          <w:color w:val="2F3F9E"/>
          <w:sz w:val="22"/>
        </w:rPr>
        <w:t xml:space="preserve">☐  </w:t>
      </w:r>
      <w:r>
        <w:rPr>
          <w:b/>
          <w:i w:val="0"/>
          <w:color w:val="2F3F9E"/>
          <w:sz w:val="21"/>
        </w:rPr>
        <w:t>X.1  Clausola di uscita (exit clause)</w:t>
      </w:r>
    </w:p>
    <w:p>
      <w:pPr>
        <w:spacing w:before="40" w:after="160"/>
      </w:pPr>
      <w:r>
        <w:rPr>
          <w:b w:val="0"/>
          <w:i w:val="0"/>
          <w:sz w:val="20"/>
        </w:rPr>
        <w:t>Alla scadenza contrattuale, tutti i dati dell'ente (e le configurazioni) sono consegnati in formati aperti e documentati, senza costi aggiuntivi.</w:t>
      </w:r>
    </w:p>
    <w:p>
      <w:pPr>
        <w:spacing w:before="40" w:after="20"/>
      </w:pPr>
      <w:r>
        <w:rPr>
          <w:b/>
          <w:i w:val="0"/>
          <w:color w:val="2F3F9E"/>
          <w:sz w:val="22"/>
        </w:rPr>
        <w:t xml:space="preserve">☐  </w:t>
      </w:r>
      <w:r>
        <w:rPr>
          <w:b/>
          <w:i w:val="0"/>
          <w:color w:val="2F3F9E"/>
          <w:sz w:val="21"/>
        </w:rPr>
        <w:t>X.2  Diritti sui dati</w:t>
      </w:r>
    </w:p>
    <w:p>
      <w:pPr>
        <w:spacing w:before="40" w:after="160"/>
      </w:pPr>
      <w:r>
        <w:rPr>
          <w:b w:val="0"/>
          <w:i w:val="0"/>
          <w:sz w:val="20"/>
        </w:rPr>
        <w:t>Tutti i diritti sui dati raccolti e derivati nell'ambito del contratto appartengono alla stazione appaltante.</w:t>
      </w:r>
    </w:p>
    <w:p>
      <w:pPr>
        <w:spacing w:before="40" w:after="20"/>
      </w:pPr>
      <w:r>
        <w:rPr>
          <w:b/>
          <w:i w:val="0"/>
          <w:color w:val="2F3F9E"/>
          <w:sz w:val="22"/>
        </w:rPr>
        <w:t xml:space="preserve">☐  </w:t>
      </w:r>
      <w:r>
        <w:rPr>
          <w:b/>
          <w:i w:val="0"/>
          <w:color w:val="2F3F9E"/>
          <w:sz w:val="21"/>
        </w:rPr>
        <w:t>X.3  Nessun costo per i dati propri</w:t>
      </w:r>
    </w:p>
    <w:p>
      <w:pPr>
        <w:spacing w:before="40" w:after="160"/>
      </w:pPr>
      <w:r>
        <w:rPr>
          <w:b w:val="0"/>
          <w:i w:val="0"/>
          <w:sz w:val="20"/>
        </w:rPr>
        <w:t>La stazione appaltante non paga alcun corrispettivo per accedere ai propri dati, né per utente né per richiesta.</w:t>
      </w:r>
    </w:p>
    <w:p>
      <w:pPr>
        <w:spacing w:before="40" w:after="20"/>
      </w:pPr>
      <w:r>
        <w:rPr>
          <w:b/>
          <w:i w:val="0"/>
          <w:color w:val="2F3F9E"/>
          <w:sz w:val="22"/>
        </w:rPr>
        <w:t xml:space="preserve">☐  </w:t>
      </w:r>
      <w:r>
        <w:rPr>
          <w:b/>
          <w:i w:val="0"/>
          <w:color w:val="2F3F9E"/>
          <w:sz w:val="21"/>
        </w:rPr>
        <w:t>X.4  Stabilità e versionamento delle API</w:t>
      </w:r>
    </w:p>
    <w:p>
      <w:pPr>
        <w:spacing w:before="40" w:after="160"/>
      </w:pPr>
      <w:r>
        <w:rPr>
          <w:b w:val="0"/>
          <w:i w:val="0"/>
          <w:sz w:val="20"/>
        </w:rPr>
        <w:t>L'appaltatore garantisce la retrocompatibilità dell'API per l'intera durata del contratto. Le modifiche non retrocompatibili (breaking changes) sono comunicate con almeno 6 mesi di anticipo e rilasciate in una nuova versione, mantenendo attiva la precedente fino alla data concordata per la dismissione.</w:t>
      </w:r>
    </w:p>
    <w:p>
      <w:pPr>
        <w:spacing w:before="40" w:after="20"/>
      </w:pPr>
      <w:r>
        <w:rPr>
          <w:b/>
          <w:i w:val="0"/>
          <w:color w:val="2F3F9E"/>
          <w:sz w:val="22"/>
        </w:rPr>
        <w:t xml:space="preserve">☐  </w:t>
      </w:r>
      <w:r>
        <w:rPr>
          <w:b/>
          <w:i w:val="0"/>
          <w:color w:val="2F3F9E"/>
          <w:sz w:val="21"/>
        </w:rPr>
        <w:t>X.5  Dimostrare, non promettere</w:t>
      </w:r>
    </w:p>
    <w:p>
      <w:pPr>
        <w:spacing w:before="40" w:after="160"/>
      </w:pPr>
      <w:r>
        <w:rPr>
          <w:b w:val="0"/>
          <w:i w:val="0"/>
          <w:sz w:val="20"/>
        </w:rPr>
        <w:t>I concorrenti dimostrano la conformità in sede di valutazione delle offerte anziché limitarsi a dichiararla. Per le API ciò richiede una documentazione interattiva pubblicata (come OpenAPI) e una chiamata dal vivo che restituisca dati validi. Ogni voce selezionata è nuovamente collaudata alla consegna.</w:t>
      </w:r>
    </w:p>
    <w:p>
      <w:pPr>
        <w:spacing w:before="40" w:after="20"/>
      </w:pPr>
      <w:r>
        <w:rPr>
          <w:b/>
          <w:i w:val="0"/>
          <w:color w:val="2F3F9E"/>
          <w:sz w:val="22"/>
        </w:rPr>
        <w:t xml:space="preserve">☐  </w:t>
      </w:r>
      <w:r>
        <w:rPr>
          <w:b/>
          <w:i w:val="0"/>
          <w:color w:val="2F3F9E"/>
          <w:sz w:val="21"/>
        </w:rPr>
        <w:t>X.6  Standard aperti specificati</w:t>
      </w:r>
    </w:p>
    <w:p>
      <w:pPr>
        <w:spacing w:before="40" w:after="160"/>
      </w:pPr>
      <w:r>
        <w:rPr>
          <w:b w:val="0"/>
          <w:i w:val="0"/>
          <w:sz w:val="20"/>
        </w:rPr>
        <w:t>La gara indica norme e standard specifici; le dichiarazioni di conformità o compatibilità devono citare l'interfaccia esatta e la versione. Ogni riferimento a una norma o specifica tecnica ammette una soluzione equivalente; l'offerente dimostra l'equivalenza.</w:t>
      </w:r>
    </w:p>
    <w:p>
      <w:pPr>
        <w:spacing w:before="40" w:after="20"/>
      </w:pPr>
      <w:r>
        <w:rPr>
          <w:b/>
          <w:i w:val="0"/>
          <w:color w:val="2F3F9E"/>
          <w:sz w:val="22"/>
        </w:rPr>
        <w:t xml:space="preserve">☐  </w:t>
      </w:r>
      <w:r>
        <w:rPr>
          <w:b/>
          <w:i w:val="0"/>
          <w:color w:val="2F3F9E"/>
          <w:sz w:val="21"/>
        </w:rPr>
        <w:t>X.7  Dichiarazione di conformità ai MIM</w:t>
      </w:r>
    </w:p>
    <w:p>
      <w:pPr>
        <w:spacing w:before="40" w:after="160"/>
      </w:pPr>
      <w:r>
        <w:rPr>
          <w:b w:val="0"/>
          <w:i w:val="0"/>
          <w:sz w:val="20"/>
        </w:rPr>
        <w:t>L'offerente compila la tabella di conformità (pag. 28), che costituirà parte integrante del contratto d'appalto.</w:t>
      </w:r>
    </w:p>
    <w:p>
      <w:r>
        <w:br w:type="page"/>
      </w:r>
    </w:p>
    <w:p>
      <w:pPr>
        <w:spacing w:before="120" w:after="160"/>
      </w:pPr>
      <w:r>
        <w:rPr>
          <w:b/>
          <w:i w:val="0"/>
          <w:color w:val="2F3F9E"/>
          <w:sz w:val="36"/>
        </w:rPr>
        <w:t>Esempio: appalto per una rete di sensori di qualità dell'aria</w:t>
      </w:r>
    </w:p>
    <w:p>
      <w:pPr>
        <w:spacing w:before="40" w:after="160"/>
      </w:pPr>
      <w:r>
        <w:rPr>
          <w:b w:val="0"/>
          <w:i w:val="0"/>
          <w:sz w:val="20"/>
        </w:rPr>
        <w:t>Pagine selezionate: MIM0, MIM1, MIM2, MIM6 e MIM7 (i dati vanno su una mappa). Da MIM3 solo la voce 3.1 (i dati sulla qualità dell'aria sono pubblicati come dati aperti, quindi appartengono a un catalogo); non si applica MIM8: il sistema non è un gemello digitale.</w:t>
      </w:r>
    </w:p>
    <w:p>
      <w:pPr>
        <w:spacing w:before="40" w:after="80"/>
      </w:pPr>
      <w:r>
        <w:rPr>
          <w:b/>
          <w:i w:val="0"/>
          <w:color w:val="2F3F9E"/>
          <w:sz w:val="22"/>
        </w:rPr>
        <w:t>Cosa inserire nei vari documenti di gara</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Documento</w:t>
            </w:r>
          </w:p>
        </w:tc>
        <w:tc>
          <w:tcPr>
            <w:tcW w:type="dxa" w:w="3324"/>
            <w:shd w:val="clear" w:fill="EEF0FB"/>
          </w:tcPr>
          <w:p>
            <w:r>
              <w:rPr>
                <w:b/>
                <w:i w:val="0"/>
                <w:color w:val="2F3F9E"/>
                <w:sz w:val="18"/>
              </w:rPr>
              <w:t>Termine nella Direttiva 2014/24/UE</w:t>
            </w:r>
          </w:p>
        </w:tc>
        <w:tc>
          <w:tcPr>
            <w:tcW w:type="dxa" w:w="3324"/>
            <w:shd w:val="clear" w:fill="EEF0FB"/>
          </w:tcPr>
          <w:p>
            <w:r>
              <w:rPr>
                <w:b/>
                <w:i w:val="0"/>
                <w:color w:val="2F3F9E"/>
                <w:sz w:val="18"/>
              </w:rPr>
              <w:t>Contenuto da inserire</w:t>
            </w:r>
          </w:p>
        </w:tc>
      </w:tr>
      <w:tr>
        <w:tc>
          <w:tcPr>
            <w:tcW w:type="dxa" w:w="3324"/>
          </w:tcPr>
          <w:p>
            <w:r>
              <w:rPr>
                <w:b/>
                <w:i w:val="0"/>
                <w:color w:val="2F3F9E"/>
                <w:sz w:val="18"/>
              </w:rPr>
              <w:t>Capitolato tecnico</w:t>
            </w:r>
          </w:p>
        </w:tc>
        <w:tc>
          <w:tcPr>
            <w:tcW w:type="dxa" w:w="3324"/>
          </w:tcPr>
          <w:p>
            <w:r>
              <w:rPr>
                <w:b w:val="0"/>
                <w:i w:val="0"/>
                <w:color w:val="646B82"/>
                <w:sz w:val="17"/>
              </w:rPr>
              <w:t>specifiche tecniche (Art. 42)</w:t>
            </w:r>
          </w:p>
        </w:tc>
        <w:tc>
          <w:tcPr>
            <w:tcW w:type="dxa" w:w="3324"/>
          </w:tcPr>
          <w:p>
            <w:r>
              <w:rPr>
                <w:b w:val="0"/>
                <w:i w:val="0"/>
                <w:sz w:val="18"/>
              </w:rPr>
              <w:t>le voci selezionate di MIM0, MIM1, MIM2, MIM3 (solo 3.1), MIM6 (eccetto 6.4) e MIM7, parola per parola, con il codice della specifica, oltre alla clausola sull'equivalenza</w:t>
            </w:r>
          </w:p>
        </w:tc>
      </w:tr>
      <w:tr>
        <w:tc>
          <w:tcPr>
            <w:tcW w:type="dxa" w:w="3324"/>
          </w:tcPr>
          <w:p>
            <w:r>
              <w:rPr>
                <w:b/>
                <w:i w:val="0"/>
                <w:color w:val="2F3F9E"/>
                <w:sz w:val="18"/>
              </w:rPr>
              <w:t>Disciplinare di gara</w:t>
            </w:r>
          </w:p>
        </w:tc>
        <w:tc>
          <w:tcPr>
            <w:tcW w:type="dxa" w:w="3324"/>
          </w:tcPr>
          <w:p>
            <w:r>
              <w:rPr>
                <w:b w:val="0"/>
                <w:i w:val="0"/>
                <w:color w:val="646B82"/>
                <w:sz w:val="17"/>
              </w:rPr>
              <w:t>criteri di selezione (Art. 58 e 62)</w:t>
            </w:r>
          </w:p>
        </w:tc>
        <w:tc>
          <w:tcPr>
            <w:tcW w:type="dxa" w:w="3324"/>
          </w:tcPr>
          <w:p>
            <w:r>
              <w:rPr>
                <w:b w:val="0"/>
                <w:i w:val="0"/>
                <w:sz w:val="18"/>
              </w:rPr>
              <w:t>dimostrazione di conformità a ISO/IEC 27001:2022 o equivalente (voce 6.4)</w:t>
            </w:r>
          </w:p>
        </w:tc>
      </w:tr>
      <w:tr>
        <w:tc>
          <w:tcPr>
            <w:tcW w:type="dxa" w:w="3324"/>
          </w:tcPr>
          <w:p>
            <w:r>
              <w:rPr>
                <w:b/>
                <w:i w:val="0"/>
                <w:color w:val="2F3F9E"/>
                <w:sz w:val="18"/>
              </w:rPr>
              <w:t>Mezzi di prova</w:t>
            </w:r>
          </w:p>
        </w:tc>
        <w:tc>
          <w:tcPr>
            <w:tcW w:type="dxa" w:w="3324"/>
          </w:tcPr>
          <w:p>
            <w:r>
              <w:rPr>
                <w:b w:val="0"/>
                <w:i w:val="0"/>
                <w:color w:val="646B82"/>
                <w:sz w:val="17"/>
              </w:rPr>
              <w:t>relazioni di prova, certificazione e altri mezzi di prova (Art. 44)</w:t>
            </w:r>
          </w:p>
        </w:tc>
        <w:tc>
          <w:tcPr>
            <w:tcW w:type="dxa" w:w="3324"/>
          </w:tcPr>
          <w:p>
            <w:r>
              <w:rPr>
                <w:b w:val="0"/>
                <w:i w:val="0"/>
                <w:sz w:val="18"/>
              </w:rPr>
              <w:t>tabella di conformità come allegato obbligatorio all'offerta: C, E o N per ciascuna voce, con le relative prove (indirizzo documentazione API, credenziali di test)</w:t>
            </w:r>
          </w:p>
        </w:tc>
      </w:tr>
      <w:tr>
        <w:tc>
          <w:tcPr>
            <w:tcW w:type="dxa" w:w="3324"/>
          </w:tcPr>
          <w:p>
            <w:r>
              <w:rPr>
                <w:b/>
                <w:i w:val="0"/>
                <w:color w:val="2F3F9E"/>
                <w:sz w:val="18"/>
              </w:rPr>
              <w:t>Schema di contratto</w:t>
            </w:r>
          </w:p>
        </w:tc>
        <w:tc>
          <w:tcPr>
            <w:tcW w:type="dxa" w:w="3324"/>
          </w:tcPr>
          <w:p>
            <w:r>
              <w:rPr>
                <w:b w:val="0"/>
                <w:i w:val="0"/>
                <w:color w:val="646B82"/>
                <w:sz w:val="17"/>
              </w:rPr>
              <w:t>condizioni di esecuzione dell'appalto (Art. 70)</w:t>
            </w:r>
          </w:p>
        </w:tc>
        <w:tc>
          <w:tcPr>
            <w:tcW w:type="dxa" w:w="3324"/>
          </w:tcPr>
          <w:p>
            <w:r>
              <w:rPr>
                <w:b w:val="0"/>
                <w:i w:val="0"/>
                <w:sz w:val="18"/>
              </w:rPr>
              <w:t>Clausola di uscita (exit clause), Diritti sui dati, Nessun costo per i dati propri, Stabilità e versionamento delle API; la tabella di conformità compilata come allegato</w:t>
            </w:r>
          </w:p>
        </w:tc>
      </w:tr>
      <w:tr>
        <w:tc>
          <w:tcPr>
            <w:tcW w:type="dxa" w:w="3324"/>
          </w:tcPr>
          <w:p>
            <w:r>
              <w:rPr>
                <w:b/>
                <w:i w:val="0"/>
                <w:color w:val="2F3F9E"/>
                <w:sz w:val="18"/>
              </w:rPr>
              <w:t>Verbale di collaudo</w:t>
            </w:r>
          </w:p>
        </w:tc>
        <w:tc>
          <w:tcPr>
            <w:tcW w:type="dxa" w:w="3324"/>
          </w:tcPr>
          <w:p>
            <w:r>
              <w:rPr>
                <w:b w:val="0"/>
                <w:i w:val="0"/>
                <w:color w:val="646B82"/>
                <w:sz w:val="17"/>
              </w:rPr>
              <w:t>condizioni di esecuzione dell'appalto (Art. 70)</w:t>
            </w:r>
          </w:p>
        </w:tc>
        <w:tc>
          <w:tcPr>
            <w:tcW w:type="dxa" w:w="3324"/>
          </w:tcPr>
          <w:p>
            <w:r>
              <w:rPr>
                <w:b w:val="0"/>
                <w:i w:val="0"/>
                <w:sz w:val="18"/>
              </w:rPr>
              <w:t>colonna «Verificato» della tabella di conformità come verbale di collaudo</w:t>
            </w:r>
          </w:p>
        </w:tc>
      </w:tr>
    </w:tbl>
    <w:p>
      <w:pPr>
        <w:spacing w:before="200" w:after="80"/>
      </w:pPr>
      <w:r>
        <w:rPr>
          <w:b/>
          <w:i w:val="0"/>
          <w:color w:val="2F3F9E"/>
          <w:sz w:val="22"/>
        </w:rPr>
        <w:t>Esempio di testo per le specifiche tecniche</w:t>
      </w:r>
    </w:p>
    <w:p>
      <w:pPr>
        <w:spacing w:before="40" w:after="60"/>
      </w:pPr>
      <w:r>
        <w:rPr>
          <w:b/>
          <w:i w:val="0"/>
          <w:sz w:val="19"/>
        </w:rPr>
        <w:t>4.3 Interoperabilità e accesso ai dati</w:t>
      </w:r>
    </w:p>
    <w:p>
      <w:pPr>
        <w:spacing w:before="40" w:after="60"/>
      </w:pPr>
      <w:r>
        <w:rPr>
          <w:b w:val="0"/>
          <w:i w:val="0"/>
          <w:sz w:val="19"/>
        </w:rPr>
        <w:t>4.3.1 Tutti i dati raccolti o generati dal sistema sono recuperabili in almeno un formato leggibile meccanicamente (es. JSON, CSV) tramite un'API web standard. (MIMs Plus 9.0, MIM0 R1.1, R1.2)</w:t>
      </w:r>
    </w:p>
    <w:p>
      <w:pPr>
        <w:spacing w:before="40" w:after="60"/>
      </w:pPr>
      <w:r>
        <w:rPr>
          <w:b w:val="0"/>
          <w:i w:val="0"/>
          <w:sz w:val="19"/>
        </w:rPr>
        <w:t>4.3.2 L'API è descritta formalmente in un documento aperto e leggibile meccanicamente (ad esempio OpenAPI) pubblicato a un indirizzo stabile. (MIM0 R1.3)</w:t>
      </w:r>
    </w:p>
    <w:p>
      <w:pPr>
        <w:spacing w:before="40" w:after="60"/>
      </w:pPr>
      <w:r>
        <w:rPr>
          <w:b w:val="0"/>
          <w:i w:val="0"/>
          <w:sz w:val="19"/>
        </w:rPr>
        <w:t>4.3.3 L'API consente il filtraggio dei dati per intervallo temporale e luogo di misurazione. (MIM0 R2.1, R2.2)</w:t>
      </w:r>
    </w:p>
    <w:p>
      <w:pPr>
        <w:spacing w:before="40" w:after="60"/>
      </w:pPr>
      <w:r>
        <w:rPr>
          <w:b w:val="0"/>
          <w:i w:val="0"/>
          <w:sz w:val="19"/>
        </w:rPr>
        <w:t>… da 4.3.4 a 4.3.21: ulteriori voci selezionate …</w:t>
      </w:r>
    </w:p>
    <w:p>
      <w:pPr>
        <w:spacing w:before="40" w:after="60"/>
      </w:pPr>
      <w:r>
        <w:rPr>
          <w:b w:val="0"/>
          <w:i w:val="0"/>
          <w:sz w:val="19"/>
        </w:rPr>
        <w:t>4.3.22 Ogni riferimento a una norma o specifica tecnica ammette una soluzione equivalente; l'offerente dimostra l'equivalenza.</w:t>
      </w:r>
    </w:p>
    <w:p>
      <w:pPr>
        <w:spacing w:before="40" w:after="60"/>
      </w:pPr>
      <w:r>
        <w:rPr>
          <w:b w:val="0"/>
          <w:i w:val="0"/>
          <w:sz w:val="19"/>
        </w:rPr>
        <w:t>4.3.23 L'offerente compila la tabella di conformità (allegato ai documenti di gara) e fornisce le evidenze per ciascuna voce richiesta. Durante la valutazione delle offerte l'offerente dimostra i punti da 4.3.1 a 4.3.21 (ad esempio con una chiamata API dal vivo); un'offerta che non soddisfa un punto obbligatorio non è conforme ai requisiti dell'oggetto dell'appalto. La stazione appaltante verifica nuovamente i punti in sede di collaudo; un mancato soddisfacimento in tale sede costituisce motivo per rifiutare il collaudo.</w:t>
      </w:r>
    </w:p>
    <w:p>
      <w:pPr>
        <w:spacing w:before="120" w:after="80"/>
      </w:pPr>
      <w:r>
        <w:rPr>
          <w:b w:val="0"/>
          <w:i/>
          <w:color w:val="646B82"/>
          <w:sz w:val="18"/>
        </w:rPr>
        <w:t>Il punto 4.3.3 mostra come adattare una voce all'oggetto della fornitura: per i sensori è opportuno richiedere il filtraggio per data e luogo di rilevamento.</w:t>
      </w:r>
    </w:p>
    <w:p>
      <w:pPr>
        <w:spacing w:before="160" w:after="80"/>
      </w:pPr>
      <w:r>
        <w:rPr>
          <w:b/>
          <w:i w:val="0"/>
          <w:color w:val="2F3F9E"/>
          <w:sz w:val="22"/>
        </w:rPr>
        <w:t>Estratto di una tabella di conformità compilata</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Requisito (sintesi)</w:t>
            </w:r>
          </w:p>
        </w:tc>
        <w:tc>
          <w:tcPr>
            <w:tcW w:type="dxa" w:w="1994"/>
            <w:shd w:val="clear" w:fill="EEF0FB"/>
          </w:tcPr>
          <w:p>
            <w:r>
              <w:rPr>
                <w:b/>
                <w:i w:val="0"/>
                <w:color w:val="2F3F9E"/>
                <w:sz w:val="17"/>
              </w:rPr>
              <w:t>C / E / N</w:t>
            </w:r>
          </w:p>
        </w:tc>
        <w:tc>
          <w:tcPr>
            <w:tcW w:type="dxa" w:w="1994"/>
            <w:shd w:val="clear" w:fill="EEF0FB"/>
          </w:tcPr>
          <w:p>
            <w:r>
              <w:rPr>
                <w:b/>
                <w:i w:val="0"/>
                <w:color w:val="2F3F9E"/>
                <w:sz w:val="17"/>
              </w:rPr>
              <w:t>Mezzo di prova: modalità e riferimenti</w:t>
            </w:r>
          </w:p>
        </w:tc>
        <w:tc>
          <w:tcPr>
            <w:tcW w:type="dxa" w:w="1994"/>
            <w:shd w:val="clear" w:fill="EEF0FB"/>
          </w:tcPr>
          <w:p>
            <w:r>
              <w:rPr>
                <w:b/>
                <w:i w:val="0"/>
                <w:color w:val="2F3F9E"/>
                <w:sz w:val="17"/>
              </w:rPr>
              <w:t>Verificato</w:t>
            </w:r>
          </w:p>
        </w:tc>
      </w:tr>
      <w:tr>
        <w:tc>
          <w:tcPr>
            <w:tcW w:type="dxa" w:w="1994"/>
          </w:tcPr>
          <w:p>
            <w:r>
              <w:rPr>
                <w:b w:val="0"/>
                <w:i w:val="0"/>
                <w:sz w:val="17"/>
              </w:rPr>
              <w:t>0.1</w:t>
            </w:r>
          </w:p>
        </w:tc>
        <w:tc>
          <w:tcPr>
            <w:tcW w:type="dxa" w:w="1994"/>
          </w:tcPr>
          <w:p>
            <w:r>
              <w:rPr>
                <w:b w:val="0"/>
                <w:i w:val="0"/>
                <w:sz w:val="17"/>
              </w:rPr>
              <w:t>Dati leggibili meccanicamente tramite API web</w:t>
            </w:r>
          </w:p>
        </w:tc>
        <w:tc>
          <w:tcPr>
            <w:tcW w:type="dxa" w:w="1994"/>
          </w:tcPr>
          <w:p>
            <w:r>
              <w:rPr>
                <w:b w:val="0"/>
                <w:i w:val="0"/>
                <w:sz w:val="17"/>
              </w:rPr>
              <w:t>C</w:t>
            </w:r>
          </w:p>
        </w:tc>
        <w:tc>
          <w:tcPr>
            <w:tcW w:type="dxa" w:w="1994"/>
          </w:tcPr>
          <w:p>
            <w:r>
              <w:rPr>
                <w:b w:val="0"/>
                <w:i w:val="0"/>
                <w:sz w:val="17"/>
              </w:rPr>
              <w:t>API REST che restituisce JSON e CSV; documentazione all'indirizzo indicato nell'offerta, pag. 12; credenziali di test nell'allegato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Sottoscrizione alle modifiche ove necessario</w:t>
            </w:r>
          </w:p>
        </w:tc>
        <w:tc>
          <w:tcPr>
            <w:tcW w:type="dxa" w:w="1994"/>
          </w:tcPr>
          <w:p>
            <w:r>
              <w:rPr>
                <w:b w:val="0"/>
                <w:i w:val="0"/>
                <w:sz w:val="17"/>
              </w:rPr>
              <w:t>N</w:t>
            </w:r>
          </w:p>
        </w:tc>
        <w:tc>
          <w:tcPr>
            <w:tcW w:type="dxa" w:w="1994"/>
          </w:tcPr>
          <w:p>
            <w:r>
              <w:rPr>
                <w:b w:val="0"/>
                <w:i w:val="0"/>
                <w:sz w:val="17"/>
              </w:rPr>
              <w:t>funzionalità non ancora supportata; prevista per la versione successiva</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Formati geospaziali aperti</w:t>
            </w:r>
          </w:p>
        </w:tc>
        <w:tc>
          <w:tcPr>
            <w:tcW w:type="dxa" w:w="1994"/>
          </w:tcPr>
          <w:p>
            <w:r>
              <w:rPr>
                <w:b w:val="0"/>
                <w:i w:val="0"/>
                <w:sz w:val="17"/>
              </w:rPr>
              <w:t>E</w:t>
            </w:r>
          </w:p>
        </w:tc>
        <w:tc>
          <w:tcPr>
            <w:tcW w:type="dxa" w:w="1994"/>
          </w:tcPr>
          <w:p>
            <w:r>
              <w:rPr>
                <w:b w:val="0"/>
                <w:i w:val="0"/>
                <w:sz w:val="17"/>
              </w:rPr>
              <w:t>fornisce GeoPackage, standard aperto OGC, anziché GeoJSON; equivalenza illustrata nell'offerta tecnica, pag. 15</w:t>
            </w:r>
          </w:p>
        </w:tc>
        <w:tc>
          <w:tcPr>
            <w:tcW w:type="dxa" w:w="1994"/>
          </w:tcPr>
          <w:p>
            <w:r>
              <w:rPr>
                <w:b w:val="0"/>
                <w:i w:val="0"/>
                <w:sz w:val="17"/>
              </w:rPr>
              <w:t>✓</w:t>
            </w:r>
          </w:p>
        </w:tc>
      </w:tr>
    </w:tbl>
    <w:p>
      <w:pPr>
        <w:spacing w:before="80" w:after="80"/>
      </w:pPr>
      <w:r>
        <w:rPr>
          <w:b w:val="0"/>
          <w:i/>
          <w:color w:val="646B82"/>
          <w:sz w:val="18"/>
        </w:rPr>
        <w:t>Una promessa di funzionalità future vale N: la commissione verifica solo ciò che l'offerente può mostrare. Per una voce obbligatoria, N significa che l'offerta non è conforme ai requisiti dell'oggetto dell'appalto.</w:t>
      </w:r>
    </w:p>
    <w:p>
      <w:pPr>
        <w:spacing w:before="40" w:after="80"/>
      </w:pPr>
      <w:r>
        <w:rPr>
          <w:b w:val="0"/>
          <w:i/>
          <w:color w:val="646B82"/>
          <w:sz w:val="18"/>
        </w:rPr>
        <w:t>Adattare le formule al diritto nazionale e sottoporre il testo alla verifica del responsabile degli appalti.</w:t>
      </w:r>
    </w:p>
    <w:p>
      <w:r>
        <w:br w:type="page"/>
      </w:r>
    </w:p>
    <w:p>
      <w:pPr>
        <w:spacing w:before="120" w:after="160"/>
      </w:pPr>
      <w:r>
        <w:rPr>
          <w:b/>
          <w:i w:val="0"/>
          <w:color w:val="2F3F9E"/>
          <w:sz w:val="36"/>
        </w:rPr>
        <w:t>Tabella di conformità</w:t>
      </w:r>
    </w:p>
    <w:p>
      <w:pPr>
        <w:spacing w:before="40" w:after="80"/>
      </w:pPr>
      <w:r>
        <w:rPr>
          <w:b w:val="0"/>
          <w:i w:val="0"/>
          <w:sz w:val="19"/>
        </w:rPr>
        <w:t>Una riga per ciascuna voce. La stazione appaltante contrassegna quanto richiesto dall'appalto e allega la tabella alla documentazione di gara quale allegato obbligatorio all'offerta. Per ogni voce richiesta l'offerente indica C (conforme), E (conforme per equivalenza) o N (non conforme), spiegando sinteticamente come e indicando l'evidenza: link alla documentazione, accesso di test, pagina dell'offerta. Una mera dichiarazione non è sufficiente. La commissione giudicatrice verifica ciascuna voce in gara e poi al collaudo (✓ verificato, ✗ non verificato, — non controllato).</w:t>
      </w:r>
    </w:p>
    <w:p>
      <w:pPr>
        <w:spacing w:before="40" w:after="160"/>
      </w:pPr>
      <w:r>
        <w:rPr>
          <w:b w:val="0"/>
          <w:i w:val="0"/>
          <w:sz w:val="19"/>
        </w:rPr>
        <w:t>La tabella compilata è parte integrante dell'offerta e diviene allegato al contratto. Verifica la conformità ai requisiti posti per l'oggetto dell'appalto (soddisfatto o non soddisfatto); non costituisce un criterio di aggiudicazione. Per attribuire punteggi alla conformità, indicarlo espressamente tra i criteri di aggiudicazione pubblicati preventivamente nei documenti di gara (Direttiva 2014/24/UE, Articolo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Requisito (sintesi)</w:t>
            </w:r>
          </w:p>
        </w:tc>
        <w:tc>
          <w:tcPr>
            <w:tcW w:type="dxa" w:w="1701"/>
            <w:shd w:val="clear" w:fill="EEF0FB"/>
          </w:tcPr>
          <w:p>
            <w:r>
              <w:rPr>
                <w:b/>
                <w:i w:val="0"/>
                <w:color w:val="2F3F9E"/>
                <w:sz w:val="17"/>
              </w:rPr>
              <w:t>Rif. spec.</w:t>
            </w:r>
          </w:p>
        </w:tc>
        <w:tc>
          <w:tcPr>
            <w:tcW w:type="dxa" w:w="1077"/>
            <w:shd w:val="clear" w:fill="EEF0FB"/>
          </w:tcPr>
          <w:p>
            <w:r>
              <w:rPr>
                <w:b/>
                <w:i w:val="0"/>
                <w:color w:val="2F3F9E"/>
                <w:sz w:val="17"/>
              </w:rPr>
              <w:t>Richiesto?</w:t>
            </w:r>
          </w:p>
          <w:p>
            <w:r>
              <w:rPr>
                <w:b w:val="0"/>
                <w:i/>
                <w:color w:val="646B82"/>
                <w:sz w:val="15"/>
              </w:rPr>
              <w:t>amministrazione</w:t>
            </w:r>
          </w:p>
        </w:tc>
        <w:tc>
          <w:tcPr>
            <w:tcW w:type="dxa" w:w="794"/>
            <w:shd w:val="clear" w:fill="EEF0FB"/>
          </w:tcPr>
          <w:p>
            <w:r>
              <w:rPr>
                <w:b/>
                <w:i w:val="0"/>
                <w:color w:val="2F3F9E"/>
                <w:sz w:val="17"/>
              </w:rPr>
              <w:t>C / E / N</w:t>
            </w:r>
          </w:p>
          <w:p>
            <w:r>
              <w:rPr>
                <w:b w:val="0"/>
                <w:i/>
                <w:color w:val="646B82"/>
                <w:sz w:val="15"/>
              </w:rPr>
              <w:t>offerente</w:t>
            </w:r>
          </w:p>
        </w:tc>
        <w:tc>
          <w:tcPr>
            <w:tcW w:type="dxa" w:w="2154"/>
            <w:shd w:val="clear" w:fill="EEF0FB"/>
          </w:tcPr>
          <w:p>
            <w:r>
              <w:rPr>
                <w:b/>
                <w:i w:val="0"/>
                <w:color w:val="2F3F9E"/>
                <w:sz w:val="17"/>
              </w:rPr>
              <w:t>Mezzo di prova: modalità e riferimenti</w:t>
            </w:r>
          </w:p>
          <w:p>
            <w:r>
              <w:rPr>
                <w:b w:val="0"/>
                <w:i/>
                <w:color w:val="646B82"/>
                <w:sz w:val="15"/>
              </w:rPr>
              <w:t>offerente</w:t>
            </w:r>
          </w:p>
        </w:tc>
        <w:tc>
          <w:tcPr>
            <w:tcW w:type="dxa" w:w="794"/>
            <w:shd w:val="clear" w:fill="EEF0FB"/>
          </w:tcPr>
          <w:p>
            <w:r>
              <w:rPr>
                <w:b/>
                <w:i w:val="0"/>
                <w:color w:val="2F3F9E"/>
                <w:sz w:val="17"/>
              </w:rPr>
              <w:t>Verificato</w:t>
            </w:r>
          </w:p>
          <w:p>
            <w:r>
              <w:rPr>
                <w:b w:val="0"/>
                <w:i/>
                <w:color w:val="646B82"/>
                <w:sz w:val="15"/>
              </w:rPr>
              <w:t>commissione</w:t>
            </w:r>
          </w:p>
        </w:tc>
      </w:tr>
      <w:tr>
        <w:tc>
          <w:tcPr>
            <w:tcW w:type="dxa" w:w="9975"/>
            <w:gridSpan w:val="7"/>
            <w:shd w:val="clear" w:fill="2F3F9E"/>
          </w:tcPr>
          <w:p>
            <w:r>
              <w:rPr>
                <w:b/>
                <w:i w:val="0"/>
                <w:color w:val="FFFFFF"/>
                <w:sz w:val="17"/>
              </w:rPr>
              <w:t>MIM0 · Possiamo estrarre i nostri dati?</w:t>
            </w:r>
          </w:p>
        </w:tc>
      </w:tr>
      <w:tr>
        <w:tc>
          <w:tcPr>
            <w:tcW w:type="dxa" w:w="567"/>
          </w:tcPr>
          <w:p>
            <w:r>
              <w:rPr>
                <w:b w:val="0"/>
                <w:i w:val="0"/>
                <w:sz w:val="17"/>
              </w:rPr>
              <w:t>0.1</w:t>
            </w:r>
          </w:p>
        </w:tc>
        <w:tc>
          <w:tcPr>
            <w:tcW w:type="dxa" w:w="2608"/>
          </w:tcPr>
          <w:p>
            <w:r>
              <w:rPr>
                <w:b w:val="0"/>
                <w:i w:val="0"/>
                <w:sz w:val="17"/>
              </w:rPr>
              <w:t>Dati leggibili meccanicamente tramite API web standard</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Descrizione aperta dell'API (OpenAPI) a indirizzo stabile</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Filtro per intervallo temporale, posizione e attributi</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Sottoscrizione alle modifiche dove necessario</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Errori, cache e limiti di frequenza HTTP standard</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Ogni cosa ha un identificatore durevole?</w:t>
            </w:r>
          </w:p>
        </w:tc>
      </w:tr>
      <w:tr>
        <w:tc>
          <w:tcPr>
            <w:tcW w:type="dxa" w:w="567"/>
          </w:tcPr>
          <w:p>
            <w:r>
              <w:rPr>
                <w:b w:val="0"/>
                <w:i w:val="0"/>
                <w:sz w:val="17"/>
              </w:rPr>
              <w:t>1.1</w:t>
            </w:r>
          </w:p>
        </w:tc>
        <w:tc>
          <w:tcPr>
            <w:tcW w:type="dxa" w:w="2608"/>
          </w:tcPr>
          <w:p>
            <w:r>
              <w:rPr>
                <w:b w:val="0"/>
                <w:i w:val="0"/>
                <w:sz w:val="17"/>
              </w:rPr>
              <w:t>Identificatore persistente e univoco per ogni entità</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Risoluzione identificatore restituisce dati e tipologia</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Mappatura identificatori tra sistemi</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Nessun riferimento proprietario negli identificatori</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Parliamo un linguaggio comune?</w:t>
            </w:r>
          </w:p>
        </w:tc>
      </w:tr>
      <w:tr>
        <w:tc>
          <w:tcPr>
            <w:tcW w:type="dxa" w:w="567"/>
          </w:tcPr>
          <w:p>
            <w:r>
              <w:rPr>
                <w:b w:val="0"/>
                <w:i w:val="0"/>
                <w:sz w:val="17"/>
              </w:rPr>
              <w:t>2.1</w:t>
            </w:r>
          </w:p>
        </w:tc>
        <w:tc>
          <w:tcPr>
            <w:tcW w:type="dxa" w:w="2608"/>
          </w:tcPr>
          <w:p>
            <w:r>
              <w:rPr>
                <w:b w:val="0"/>
                <w:i w:val="0"/>
                <w:sz w:val="17"/>
              </w:rPr>
              <w:t>Modelli dati standard ovunque disponibili</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Modelli documentati e unità di misura esplicite</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Estensioni gestite come profili, mai fork proprietari</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Serializzazione aperta e validabile tramite schema</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Possiamo condividere a condizioni chiare?</w:t>
            </w:r>
          </w:p>
        </w:tc>
      </w:tr>
      <w:tr>
        <w:tc>
          <w:tcPr>
            <w:tcW w:type="dxa" w:w="567"/>
          </w:tcPr>
          <w:p>
            <w:r>
              <w:rPr>
                <w:b w:val="0"/>
                <w:i w:val="0"/>
                <w:sz w:val="17"/>
              </w:rPr>
              <w:t>3.1</w:t>
            </w:r>
          </w:p>
        </w:tc>
        <w:tc>
          <w:tcPr>
            <w:tcW w:type="dxa" w:w="2608"/>
          </w:tcPr>
          <w:p>
            <w:r>
              <w:rPr>
                <w:b w:val="0"/>
                <w:i w:val="0"/>
                <w:sz w:val="17"/>
              </w:rPr>
              <w:t>Dati catalogati con metadati conformi agli standard</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Modelli standardizzati di accordi e licenze d'uso</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La città controlla le condizioni di accesso</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I nostri dati sono al sicuro?</w:t>
            </w:r>
          </w:p>
        </w:tc>
      </w:tr>
      <w:tr>
        <w:tc>
          <w:tcPr>
            <w:tcW w:type="dxa" w:w="567"/>
          </w:tcPr>
          <w:p>
            <w:r>
              <w:rPr>
                <w:b w:val="0"/>
                <w:i w:val="0"/>
                <w:sz w:val="17"/>
              </w:rPr>
              <w:t>6.1</w:t>
            </w:r>
          </w:p>
        </w:tc>
        <w:tc>
          <w:tcPr>
            <w:tcW w:type="dxa" w:w="2608"/>
          </w:tcPr>
          <w:p>
            <w:r>
              <w:rPr>
                <w:b w:val="0"/>
                <w:i w:val="0"/>
                <w:sz w:val="17"/>
              </w:rPr>
              <w:t>Trasferimento cifrato dei dati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Autenticazione standard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Controllo accessi per ruoli e registri di audit</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Allineamento dimostrato a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Funziona su una mappa?</w:t>
            </w:r>
          </w:p>
        </w:tc>
      </w:tr>
      <w:tr>
        <w:tc>
          <w:tcPr>
            <w:tcW w:type="dxa" w:w="567"/>
          </w:tcPr>
          <w:p>
            <w:r>
              <w:rPr>
                <w:b w:val="0"/>
                <w:i w:val="0"/>
                <w:sz w:val="17"/>
              </w:rPr>
              <w:t>7.1</w:t>
            </w:r>
          </w:p>
        </w:tc>
        <w:tc>
          <w:tcPr>
            <w:tcW w:type="dxa" w:w="2608"/>
          </w:tcPr>
          <w:p>
            <w:r>
              <w:rPr>
                <w:b w:val="0"/>
                <w:i w:val="0"/>
                <w:sz w:val="17"/>
              </w:rPr>
              <w:t>Interfacce standard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Formati geospaziali aperti</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Sistema di coordinate dichiarato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Identificatori persistenti per dati spaziali (cfr.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Il nostro gemello digitale può evolversi?</w:t>
            </w:r>
          </w:p>
        </w:tc>
      </w:tr>
      <w:tr>
        <w:tc>
          <w:tcPr>
            <w:tcW w:type="dxa" w:w="567"/>
          </w:tcPr>
          <w:p>
            <w:r>
              <w:rPr>
                <w:b w:val="0"/>
                <w:i w:val="0"/>
                <w:sz w:val="17"/>
              </w:rPr>
              <w:t>8.1</w:t>
            </w:r>
          </w:p>
        </w:tc>
        <w:tc>
          <w:tcPr>
            <w:tcW w:type="dxa" w:w="2608"/>
          </w:tcPr>
          <w:p>
            <w:r>
              <w:rPr>
                <w:b w:val="0"/>
                <w:i w:val="0"/>
                <w:sz w:val="17"/>
              </w:rPr>
              <w:t>Dati e output del gemello tramite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Modelli interamente documentati e invocabili</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Formati di output standard</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Provenienza dei flussi di lavoro registrata</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Clausole contrattuali trasversali   L'offerente attesta l'accettazione della condizione contrattuale (C / N).</w:t>
            </w:r>
          </w:p>
        </w:tc>
      </w:tr>
      <w:tr>
        <w:tc>
          <w:tcPr>
            <w:tcW w:type="dxa" w:w="567"/>
          </w:tcPr>
          <w:p>
            <w:r>
              <w:rPr>
                <w:b w:val="0"/>
                <w:i w:val="0"/>
                <w:sz w:val="17"/>
              </w:rPr>
              <w:t>X.1</w:t>
            </w:r>
          </w:p>
        </w:tc>
        <w:tc>
          <w:tcPr>
            <w:tcW w:type="dxa" w:w="2608"/>
          </w:tcPr>
          <w:p>
            <w:r>
              <w:rPr>
                <w:b w:val="0"/>
                <w:i w:val="0"/>
                <w:sz w:val="17"/>
              </w:rPr>
              <w:t>Clausola di uscita: consegna gratuita in formati aperti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Diritti sui dati riservati alla stazione appaltante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Nessun costo per l'accesso ai propri dati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Stabilità API: versionata, preavviso di 6 mesi per modifiche incompatibili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Le etichette sintetiche sottostanti richiamano le voci estese delle pagine dei MIM — in caso di dubbio fa fede il testo completo della voce.</w:t>
      </w:r>
    </w:p>
    <w:p>
      <w:pPr>
        <w:spacing w:before="40" w:after="80"/>
      </w:pPr>
      <w:r>
        <w:rPr>
          <w:b w:val="0"/>
          <w:i w:val="0"/>
          <w:color w:val="646B82"/>
          <w:sz w:val="17"/>
        </w:rPr>
        <w:t>La versione modificabile della tabella è scaricabile su: https://www.joinedcontext.com/mims/</w:t>
      </w:r>
    </w:p>
    <w:p>
      <w:r>
        <w:br w:type="page"/>
      </w:r>
    </w:p>
    <w:p>
      <w:pPr>
        <w:spacing w:before="120" w:after="160"/>
      </w:pPr>
      <w:r>
        <w:rPr>
          <w:b/>
          <w:i w:val="0"/>
          <w:color w:val="2F3F9E"/>
          <w:sz w:val="36"/>
        </w:rPr>
        <w:t>Piccolo glossario</w:t>
      </w:r>
    </w:p>
    <w:p>
      <w:pPr>
        <w:spacing w:before="40" w:after="120"/>
      </w:pPr>
      <w:r>
        <w:rPr>
          <w:b/>
          <w:i w:val="0"/>
          <w:color w:val="2F3F9E"/>
          <w:sz w:val="20"/>
        </w:rPr>
        <w:t xml:space="preserve">API  —  </w:t>
      </w:r>
      <w:r>
        <w:rPr>
          <w:b w:val="0"/>
          <w:i w:val="0"/>
          <w:sz w:val="20"/>
        </w:rPr>
        <w:t>Un punto di accesso mediante il quale un programma richiede dati a un altro — tramite web, senza l'intervento di un operatore.</w:t>
      </w:r>
    </w:p>
    <w:p>
      <w:pPr>
        <w:spacing w:before="40" w:after="120"/>
      </w:pPr>
      <w:r>
        <w:rPr>
          <w:b/>
          <w:i w:val="0"/>
          <w:color w:val="2F3F9E"/>
          <w:sz w:val="20"/>
        </w:rPr>
        <w:t xml:space="preserve">Modello dati  —  </w:t>
      </w:r>
      <w:r>
        <w:rPr>
          <w:b w:val="0"/>
          <w:i w:val="0"/>
          <w:sz w:val="20"/>
        </w:rPr>
        <w:t>La struttura concordata dei dati: quali campi esistono, cosa indicano e quali unità di misura utilizzano.</w:t>
      </w:r>
    </w:p>
    <w:p>
      <w:pPr>
        <w:spacing w:before="40" w:after="120"/>
      </w:pPr>
      <w:r>
        <w:rPr>
          <w:b/>
          <w:i w:val="0"/>
          <w:color w:val="2F3F9E"/>
          <w:sz w:val="20"/>
        </w:rPr>
        <w:t xml:space="preserve">DCAT-AP  —  </w:t>
      </w:r>
      <w:r>
        <w:rPr>
          <w:b w:val="0"/>
          <w:i w:val="0"/>
          <w:sz w:val="20"/>
        </w:rPr>
        <w:t>Profilo europeo di metadati per i cataloghi dati; permette di rendere i dati ricercabili anche sui portali nazionali ed europei.</w:t>
      </w:r>
    </w:p>
    <w:p>
      <w:pPr>
        <w:spacing w:before="40" w:after="120"/>
      </w:pPr>
      <w:r>
        <w:rPr>
          <w:b/>
          <w:i w:val="0"/>
          <w:color w:val="2F3F9E"/>
          <w:sz w:val="20"/>
        </w:rPr>
        <w:t xml:space="preserve">EPSG  —  </w:t>
      </w:r>
      <w:r>
        <w:rPr>
          <w:b w:val="0"/>
          <w:i w:val="0"/>
          <w:sz w:val="20"/>
        </w:rPr>
        <w:t>Registro di codici numerici per i sistemi di riferimento di coordinate (ad es. EPSG:4326 per WGS 84).</w:t>
      </w:r>
    </w:p>
    <w:p>
      <w:pPr>
        <w:spacing w:before="40" w:after="120"/>
      </w:pPr>
      <w:r>
        <w:rPr>
          <w:b/>
          <w:i w:val="0"/>
          <w:color w:val="2F3F9E"/>
          <w:sz w:val="20"/>
        </w:rPr>
        <w:t xml:space="preserve">Identificatore  —  </w:t>
      </w:r>
      <w:r>
        <w:rPr>
          <w:b w:val="0"/>
          <w:i w:val="0"/>
          <w:sz w:val="20"/>
        </w:rPr>
        <w:t>Denominazione permanente assegnata a una singola entità (un lampione, un edificio) usata da tutti i sistemi per riferirsi a essa.</w:t>
      </w:r>
    </w:p>
    <w:p>
      <w:pPr>
        <w:spacing w:before="40" w:after="120"/>
      </w:pPr>
      <w:r>
        <w:rPr>
          <w:b/>
          <w:i w:val="0"/>
          <w:color w:val="2F3F9E"/>
          <w:sz w:val="20"/>
        </w:rPr>
        <w:t xml:space="preserve">Interoperabilità  —  </w:t>
      </w:r>
      <w:r>
        <w:rPr>
          <w:b w:val="0"/>
          <w:i w:val="0"/>
          <w:sz w:val="20"/>
        </w:rPr>
        <w:t>La capacità di sistemi realizzati da fornitori diversi di scambiare dati e comprenderne reciprocamente il significato.</w:t>
      </w:r>
    </w:p>
    <w:p>
      <w:pPr>
        <w:spacing w:before="40" w:after="120"/>
      </w:pPr>
      <w:r>
        <w:rPr>
          <w:b/>
          <w:i w:val="0"/>
          <w:color w:val="2F3F9E"/>
          <w:sz w:val="20"/>
        </w:rPr>
        <w:t xml:space="preserve">IRI  —  </w:t>
      </w:r>
      <w:r>
        <w:rPr>
          <w:b w:val="0"/>
          <w:i w:val="0"/>
          <w:sz w:val="20"/>
        </w:rPr>
        <w:t>Forma internazionale di identificatore web (come un URL, con caratteri non-ASCII ammessi). MIM1 identifica le entità per suo tramite.</w:t>
      </w:r>
    </w:p>
    <w:p>
      <w:pPr>
        <w:spacing w:before="40" w:after="120"/>
      </w:pPr>
      <w:r>
        <w:rPr>
          <w:b/>
          <w:i w:val="0"/>
          <w:color w:val="2F3F9E"/>
          <w:sz w:val="20"/>
        </w:rPr>
        <w:t xml:space="preserve">LDT  —  </w:t>
      </w:r>
      <w:r>
        <w:rPr>
          <w:b w:val="0"/>
          <w:i w:val="0"/>
          <w:sz w:val="20"/>
        </w:rPr>
        <w:t>Gemello digitale locale (Local Digital Twin): replica digitale di una città o di una sua area, integrata con dati e simulazioni.</w:t>
      </w:r>
    </w:p>
    <w:p>
      <w:pPr>
        <w:spacing w:before="40" w:after="120"/>
      </w:pPr>
      <w:r>
        <w:rPr>
          <w:b/>
          <w:i w:val="0"/>
          <w:color w:val="2F3F9E"/>
          <w:sz w:val="20"/>
        </w:rPr>
        <w:t xml:space="preserve">Leggibile meccanicamente  —  </w:t>
      </w:r>
      <w:r>
        <w:rPr>
          <w:b w:val="0"/>
          <w:i w:val="0"/>
          <w:sz w:val="20"/>
        </w:rPr>
        <w:t>Dati strutturati affinché un software possa elaborarli direttamente (JSON, CSV) — una tabella scansionata in PDF non lo è.</w:t>
      </w:r>
    </w:p>
    <w:p>
      <w:pPr>
        <w:spacing w:before="40" w:after="120"/>
      </w:pPr>
      <w:r>
        <w:rPr>
          <w:b/>
          <w:i w:val="0"/>
          <w:color w:val="2F3F9E"/>
          <w:sz w:val="20"/>
        </w:rPr>
        <w:t xml:space="preserve">Metadati  —  </w:t>
      </w:r>
      <w:r>
        <w:rPr>
          <w:b w:val="0"/>
          <w:i w:val="0"/>
          <w:sz w:val="20"/>
        </w:rPr>
        <w:t>Dati che descrivono altri dati: contenuto della serie di dati, soggetto che la fornisce, livello di aggiornamento, licenza d'uso.</w:t>
      </w:r>
    </w:p>
    <w:p>
      <w:pPr>
        <w:spacing w:before="40" w:after="120"/>
      </w:pPr>
      <w:r>
        <w:rPr>
          <w:b/>
          <w:i w:val="0"/>
          <w:color w:val="2F3F9E"/>
          <w:sz w:val="20"/>
        </w:rPr>
        <w:t xml:space="preserve">OAuth 2.0 / OIDC  —  </w:t>
      </w:r>
      <w:r>
        <w:rPr>
          <w:b w:val="0"/>
          <w:i w:val="0"/>
          <w:sz w:val="20"/>
        </w:rPr>
        <w:t>Standard aperti per autenticazione e autorizzazione. OpenID Connect (OIDC) integra OAuth 2.0 con la verifica dell'identità.</w:t>
      </w:r>
    </w:p>
    <w:p>
      <w:pPr>
        <w:spacing w:before="40" w:after="120"/>
      </w:pPr>
      <w:r>
        <w:rPr>
          <w:b/>
          <w:i w:val="0"/>
          <w:color w:val="2F3F9E"/>
          <w:sz w:val="20"/>
        </w:rPr>
        <w:t xml:space="preserve">OGC  —  </w:t>
      </w:r>
      <w:r>
        <w:rPr>
          <w:b w:val="0"/>
          <w:i w:val="0"/>
          <w:sz w:val="20"/>
        </w:rPr>
        <w:t>Open Geospatial Consortium: ente internazionale che sviluppa standard per dati e servizi geospaziali (OGC API, WFS, SensorThings).</w:t>
      </w:r>
    </w:p>
    <w:p>
      <w:pPr>
        <w:spacing w:before="40" w:after="120"/>
      </w:pPr>
      <w:r>
        <w:rPr>
          <w:b/>
          <w:i w:val="0"/>
          <w:color w:val="2F3F9E"/>
          <w:sz w:val="20"/>
        </w:rPr>
        <w:t xml:space="preserve">Standard aperto  —  </w:t>
      </w:r>
      <w:r>
        <w:rPr>
          <w:b w:val="0"/>
          <w:i w:val="0"/>
          <w:sz w:val="20"/>
        </w:rPr>
        <w:t>Una regola tecnica che chiunque può leggere e implementare gratuitamente e senza autorizzazioni particolari.</w:t>
      </w:r>
    </w:p>
    <w:p>
      <w:pPr>
        <w:spacing w:before="40" w:after="120"/>
      </w:pPr>
      <w:r>
        <w:rPr>
          <w:b/>
          <w:i w:val="0"/>
          <w:color w:val="2F3F9E"/>
          <w:sz w:val="20"/>
        </w:rPr>
        <w:t xml:space="preserve">OpenAPI  —  </w:t>
      </w:r>
      <w:r>
        <w:rPr>
          <w:b w:val="0"/>
          <w:i w:val="0"/>
          <w:sz w:val="20"/>
        </w:rPr>
        <w:t>Formato aperto per la descrizione leggibile meccanicamente di un'API web: indirizzi, parametri e risposte restituite.</w:t>
      </w:r>
    </w:p>
    <w:p>
      <w:pPr>
        <w:spacing w:before="40" w:after="120"/>
      </w:pPr>
      <w:r>
        <w:rPr>
          <w:b/>
          <w:i w:val="0"/>
          <w:color w:val="2F3F9E"/>
          <w:sz w:val="20"/>
        </w:rPr>
        <w:t xml:space="preserve">Serializzazione  —  </w:t>
      </w:r>
      <w:r>
        <w:rPr>
          <w:b w:val="0"/>
          <w:i w:val="0"/>
          <w:sz w:val="20"/>
        </w:rPr>
        <w:t>Codifica di dati in un formato strutturato concreto (ad es. JSON o XML) per consentirne il salvataggio o l'invio su rete.</w:t>
      </w:r>
    </w:p>
    <w:p>
      <w:pPr>
        <w:spacing w:before="40" w:after="120"/>
      </w:pPr>
      <w:r>
        <w:rPr>
          <w:b/>
          <w:i w:val="0"/>
          <w:color w:val="2F3F9E"/>
          <w:sz w:val="20"/>
        </w:rPr>
        <w:t xml:space="preserve">TLS  —  </w:t>
      </w:r>
      <w:r>
        <w:rPr>
          <w:b w:val="0"/>
          <w:i w:val="0"/>
          <w:sz w:val="20"/>
        </w:rPr>
        <w:t>Protocollo che cifra i dati in transito attraverso una rete informatica (alla base del protocollo HTTPS).</w:t>
      </w:r>
    </w:p>
    <w:p>
      <w:pPr>
        <w:spacing w:before="40" w:after="120"/>
      </w:pPr>
      <w:r>
        <w:rPr>
          <w:b/>
          <w:i w:val="0"/>
          <w:color w:val="2F3F9E"/>
          <w:sz w:val="20"/>
        </w:rPr>
        <w:t xml:space="preserve">Vendor lock-in  —  </w:t>
      </w:r>
      <w:r>
        <w:rPr>
          <w:b w:val="0"/>
          <w:i w:val="0"/>
          <w:sz w:val="20"/>
        </w:rPr>
        <w:t>Uno stato in cui il costo dei dati, dei formati o dei corrispettivi rende praticamente impossibile cambiare fornitore.</w:t>
      </w:r>
    </w:p>
    <w:p>
      <w:pPr>
        <w:spacing w:before="40" w:after="120"/>
      </w:pPr>
      <w:r>
        <w:rPr>
          <w:b/>
          <w:i w:val="0"/>
          <w:color w:val="2F3F9E"/>
          <w:sz w:val="20"/>
        </w:rPr>
        <w:t xml:space="preserve">Webhook / MQTT  —  </w:t>
      </w:r>
      <w:r>
        <w:rPr>
          <w:b w:val="0"/>
          <w:i w:val="0"/>
          <w:sz w:val="20"/>
        </w:rPr>
        <w:t>Due modalità con cui un sistema notifica autonomamente un evento: il webhook chiama un URL definito, MQTT inoltra messaggi ai sottoscrittori.</w:t>
      </w:r>
    </w:p>
    <w:p>
      <w:pPr>
        <w:spacing w:before="240" w:after="120"/>
      </w:pPr>
      <w:r>
        <w:rPr>
          <w:b/>
          <w:i w:val="0"/>
          <w:color w:val="0B7485"/>
          <w:sz w:val="24"/>
        </w:rPr>
        <w:t>Dove approfondire</w:t>
      </w:r>
    </w:p>
    <w:p>
      <w:pPr>
        <w:spacing w:before="40" w:after="100"/>
      </w:pPr>
      <w:hyperlink r:id="rId20">
        <w:r>
          <w:rPr>
            <w:color w:val="2F3F9E"/>
            <w:u w:val="single"/>
            <w:sz w:val="20"/>
          </w:rPr>
          <w:t>mims.oascities.org</w:t>
        </w:r>
      </w:hyperlink>
      <w:r>
        <w:rPr>
          <w:b w:val="0"/>
          <w:i w:val="0"/>
          <w:sz w:val="20"/>
        </w:rPr>
        <w:t xml:space="preserve">  —  La specifica integrale MIMs Plus, gestita da OASC.</w:t>
      </w:r>
    </w:p>
    <w:p>
      <w:pPr>
        <w:spacing w:before="40" w:after="100"/>
      </w:pPr>
      <w:hyperlink r:id="rId21">
        <w:r>
          <w:rPr>
            <w:color w:val="2F3F9E"/>
            <w:u w:val="single"/>
            <w:sz w:val="20"/>
          </w:rPr>
          <w:t>living-in.eu</w:t>
        </w:r>
      </w:hyperlink>
      <w:r>
        <w:rPr>
          <w:b w:val="0"/>
          <w:i w:val="0"/>
          <w:sz w:val="20"/>
        </w:rPr>
        <w:t xml:space="preserve">  —  Il movimento europeo per la transizione digitale delle città — dichiarazione e quadro di riferimento MIMs Plus.</w:t>
      </w:r>
    </w:p>
    <w:p>
      <w:pPr>
        <w:spacing w:before="40" w:after="100"/>
      </w:pPr>
      <w:hyperlink r:id="rId22">
        <w:r>
          <w:rPr>
            <w:color w:val="2F3F9E"/>
            <w:u w:val="single"/>
            <w:sz w:val="20"/>
          </w:rPr>
          <w:t>smartdatamodels.org</w:t>
        </w:r>
      </w:hyperlink>
      <w:r>
        <w:rPr>
          <w:b w:val="0"/>
          <w:i w:val="0"/>
          <w:sz w:val="20"/>
        </w:rPr>
        <w:t xml:space="preserve">  —  La libreria aperta di modelli dati standardizzati (FIWARE, TM Forum, IUDX, OASC).</w:t>
      </w:r>
    </w:p>
    <w:p>
      <w:pPr>
        <w:spacing w:before="40" w:after="100"/>
      </w:pPr>
      <w:hyperlink r:id="rId23">
        <w:r>
          <w:rPr>
            <w:color w:val="2F3F9E"/>
            <w:u w:val="single"/>
            <w:sz w:val="20"/>
          </w:rPr>
          <w:t>oascities.org/academy</w:t>
        </w:r>
      </w:hyperlink>
      <w:r>
        <w:rPr>
          <w:b w:val="0"/>
          <w:i w:val="0"/>
          <w:sz w:val="20"/>
        </w:rPr>
        <w:t xml:space="preserve">  —  CITYxCITY Academy — corsi di formazione per il personale comunale, ideati dalle città.</w:t>
      </w:r>
    </w:p>
    <w:p>
      <w:r>
        <w:br w:type="page"/>
      </w:r>
    </w:p>
    <w:p>
      <w:pPr>
        <w:spacing w:before="480" w:after="80"/>
        <w:jc w:val="center"/>
      </w:pPr>
      <w:r>
        <w:rPr>
          <w:b w:val="0"/>
          <w:i w:val="0"/>
          <w:color w:val="646B82"/>
          <w:sz w:val="18"/>
        </w:rPr>
        <w:t>Tratto dalla specifica MIMs Plus 9.0 di Open &amp; Agile Smart Cities (mims.oascities.org). Contenuto della specifica © OASC. Questa guida è un compendio divulgativo indipendente destinato alle procedure d'appalto comunali; in caso di divergenze, fa fede la specifica tecnica ufficiale.</w:t>
      </w:r>
    </w:p>
    <w:p>
      <w:pPr>
        <w:spacing w:before="40" w:after="80"/>
        <w:jc w:val="center"/>
      </w:pPr>
      <w:r>
        <w:rPr>
          <w:b w:val="0"/>
          <w:i w:val="0"/>
          <w:color w:val="0B7485"/>
          <w:sz w:val="18"/>
        </w:rPr>
        <w:t>Realizzato con strumenti aperti. Liberamente riutilizzabile e adattabile per il proprio comune.</w:t>
      </w:r>
    </w:p>
    <w:p>
      <w:pPr>
        <w:spacing w:before="40" w:after="80"/>
        <w:jc w:val="center"/>
      </w:pPr>
      <w:r>
        <w:rPr>
          <w:b w:val="0"/>
          <w:i w:val="0"/>
          <w:color w:val="646B82"/>
          <w:sz w:val="17"/>
        </w:rPr>
        <w:t>Autore della guida: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Meccanismi Minimi di Interoperabilità (MIM)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Meccanismi Minimi di Interoperabilità (MIM)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