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Minimális interoperabilitási mechanizmusok (MIM-ek)</w:t>
      </w:r>
    </w:p>
    <w:p>
      <w:pPr>
        <w:spacing w:before="40" w:after="320"/>
        <w:jc w:val="center"/>
      </w:pPr>
      <w:r>
        <w:rPr>
          <w:b/>
          <w:i w:val="0"/>
          <w:color w:val="0B7485"/>
          <w:sz w:val="30"/>
        </w:rPr>
        <w:t>Mit írjon elő a közbeszerzési dokumentumokban, hogy a város kezében maradjon az adatai feletti ellenőrzés</w:t>
      </w:r>
    </w:p>
    <w:p>
      <w:pPr>
        <w:spacing w:before="40" w:after="120"/>
        <w:jc w:val="center"/>
      </w:pPr>
      <w:r>
        <w:rPr>
          <w:b w:val="0"/>
          <w:i w:val="0"/>
          <w:color w:val="646B82"/>
          <w:sz w:val="22"/>
        </w:rPr>
        <w:t>Specifikáció: OASC MIMs Plus 9.0</w:t>
      </w:r>
    </w:p>
    <w:p>
      <w:pPr>
        <w:spacing w:before="40" w:after="80"/>
        <w:jc w:val="center"/>
      </w:pPr>
      <w:r>
        <w:rPr>
          <w:b w:val="0"/>
          <w:i w:val="0"/>
          <w:color w:val="646B82"/>
          <w:sz w:val="18"/>
        </w:rPr>
        <w:t>Európai önkormányzatok közbeszerzési szakemberei, projektmenedzserei és informatikai vezetői számára</w:t>
      </w:r>
    </w:p>
    <w:p>
      <w:pPr>
        <w:spacing w:before="40" w:after="80"/>
        <w:jc w:val="center"/>
      </w:pPr>
      <w:r>
        <w:rPr>
          <w:b w:val="0"/>
          <w:i w:val="0"/>
          <w:color w:val="646B82"/>
          <w:sz w:val="17"/>
        </w:rPr>
        <w:t>A füzet szerzője: Marek Mráz</w:t>
      </w:r>
    </w:p>
    <w:p>
      <w:r>
        <w:br w:type="page"/>
      </w:r>
    </w:p>
    <w:p>
      <w:pPr>
        <w:spacing w:before="120" w:after="160"/>
      </w:pPr>
      <w:r>
        <w:rPr>
          <w:b/>
          <w:i w:val="0"/>
          <w:color w:val="2F3F9E"/>
          <w:sz w:val="36"/>
        </w:rPr>
        <w:t>E füzet célja</w:t>
      </w:r>
    </w:p>
    <w:p>
      <w:pPr>
        <w:spacing w:before="40" w:after="160"/>
      </w:pPr>
      <w:r>
        <w:rPr>
          <w:b w:val="0"/>
          <w:i w:val="0"/>
          <w:sz w:val="21"/>
        </w:rPr>
        <w:t>A városok minden évben szoftvereket vásárolnak: parkolási rendszereket, szenzorplatformokat, térképportálokat, digitális ikreket. Az ezek által gyűjtött adatok túl gyakran zártak maradnak a rendszerekben. A szerződés lejártakor a közpénzből fizetett adatok vagy távoznak a szállítóval, vagy olyan formátumban rekednek benn, amelyet senki más nem tud olvasni.</w:t>
      </w:r>
    </w:p>
    <w:p>
      <w:pPr>
        <w:spacing w:before="40" w:after="160"/>
      </w:pPr>
      <w:r>
        <w:rPr>
          <w:b w:val="0"/>
          <w:i w:val="0"/>
          <w:sz w:val="21"/>
        </w:rPr>
        <w:t>Ennek nem kell így lennie. Az Open &amp; Agile Smart Cities (OASC) által gondozott és az európai living-in.eu mozgalom által támogatott minimális interoperabilitási mechanizmusok (MIM-ek) azokat a minimális műszaki követelményeket írják le, amelyek biztosítják az adatok nyíltságát, újrafelhasználhatóságát és szállítófüggetlenségét. Szándékosan tömörek: nem egy kiterjedt architektúrát jelentenek, csupán azt a néhány feltételt, amelynek teljesülnie kell a rendszerek közötti adatcseréhez.</w:t>
      </w:r>
    </w:p>
    <w:p>
      <w:pPr>
        <w:spacing w:before="40" w:after="160"/>
      </w:pPr>
      <w:r>
        <w:rPr>
          <w:b w:val="0"/>
          <w:i w:val="0"/>
          <w:sz w:val="21"/>
        </w:rPr>
        <w:t>E füzet használatához nincs szükség műszaki háttérre. Minden ellenőrző lista közérthető pontokká alakít egy-egy MIM-et, amelyeket átmásolhat a felhívásba, megjelölve azt is, hogy az egyes pontok miért védik Önt. Közvetlenül az ellenőrző lista után szó szerint megtalálható az adott MIM minden követelménye, így a műszaki kollégák és az ajánlattevők is ellenőrizhetik a részleteket.</w:t>
      </w:r>
    </w:p>
    <w:p>
      <w:pPr>
        <w:spacing w:before="40" w:after="160"/>
      </w:pPr>
      <w:r>
        <w:rPr>
          <w:b w:val="0"/>
          <w:i w:val="0"/>
          <w:sz w:val="21"/>
        </w:rPr>
        <w:t>Azok a városok, amelyek megkövetelik a MIM-eket, egyszer vásárolnak, és sokszor használnak fel: a levegőminőségi adatok táplálják az iskolai információs táblát, a közvilágítási kataszter az energiatervet, a következő szállító pedig zökkenőmentesen folytatja az előző munkáját. Ezt jelenti az interoperabilitás a gyakorlatban — és az uniós forrásból finanszírozott projekteknél ez egyre inkább elvárás.</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“A minimális interoperabilitási mechanizmusok (MIM-ek) minimális, de elégséges szintű együttműködési képességet tesznek lehetővé az adatok, rendszerek és szolgáltatások terén, kifejezetten az okosváros-megoldások összefüggésében.</w:t>
              <w:br/>
              <w:t>A jelen dokumentum célközönsége:</w:t>
              <w:br/>
              <w:t>1. Olyan megoldásszállítók, akik biztosítani kívánják megoldásaik interoperabilitását más rendszerekkel, és lehetővé akarják tenni az adatok zökkenőmentes cseréjét az intelligens városok és közösségek kontextusában.</w:t>
              <w:br/>
              <w:t>2. Olyan ajánlatkérők, akik időtálló, valamint a meglévő intelligens városi és közösségi információs és kommunikációs technológiai (IKT) architektúrába költséghatékonyan integrálható megoldásokat kívánnak beszerezni.”</w:t>
            </w:r>
          </w:p>
        </w:tc>
      </w:tr>
    </w:tbl>
    <w:p>
      <w:pPr>
        <w:spacing w:before="240" w:after="60"/>
      </w:pPr>
      <w:r>
        <w:rPr>
          <w:b/>
          <w:i w:val="0"/>
          <w:color w:val="2F3F9E"/>
          <w:sz w:val="22"/>
        </w:rPr>
        <w:t>A MIM-ek és az uniós jog kapcsolata</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A MIM-ek műszaki leírások, nem jogszabályok. Ugyanabba az irányba mutatnak, mint a közszféra adataira és digitális szolgáltatásaira már alkalmazandó uniós szabályok:</w:t>
            </w:r>
          </w:p>
          <w:p>
            <w:pPr>
              <w:spacing w:before="20" w:after="60"/>
            </w:pPr>
            <w:r>
              <w:rPr>
                <w:b/>
                <w:i w:val="0"/>
                <w:color w:val="2F3F9E"/>
                <w:sz w:val="19"/>
              </w:rPr>
              <w:t>Közbeszerzési irányelv</w:t>
            </w:r>
            <w:r>
              <w:rPr>
                <w:b w:val="0"/>
                <w:i w:val="0"/>
                <w:color w:val="646B82"/>
                <w:sz w:val="17"/>
              </w:rPr>
              <w:t xml:space="preserve"> (2014/24/EU irányelv, 42. cikk): </w:t>
            </w:r>
            <w:r>
              <w:rPr>
                <w:b w:val="0"/>
                <w:i w:val="0"/>
                <w:sz w:val="19"/>
              </w:rPr>
              <w:t>a műszaki leírások hivatkozhatnak szabványokra, de mindig a „vagy azzal egyenértékű” kitétellel; főszabályként nem nevezhetnek meg konkrét márkát vagy terméket.</w:t>
            </w:r>
          </w:p>
          <w:p>
            <w:pPr>
              <w:spacing w:before="20" w:after="60"/>
            </w:pPr>
            <w:r>
              <w:rPr>
                <w:b/>
                <w:i w:val="0"/>
                <w:color w:val="2F3F9E"/>
                <w:sz w:val="19"/>
              </w:rPr>
              <w:t>Adatrendelet</w:t>
            </w:r>
            <w:r>
              <w:rPr>
                <w:b w:val="0"/>
                <w:i w:val="0"/>
                <w:color w:val="646B82"/>
                <w:sz w:val="17"/>
              </w:rPr>
              <w:t xml:space="preserve"> ((EU) 2023/2854 rendelet): </w:t>
            </w:r>
            <w:r>
              <w:rPr>
                <w:b w:val="0"/>
                <w:i w:val="0"/>
                <w:sz w:val="19"/>
              </w:rPr>
              <w:t>hozzáférés az összekapcsolt termékekből származó adatokhoz, valamint a felhőszolgáltatók közötti függőségmentes (lock-in nélküli) váltás.</w:t>
            </w:r>
          </w:p>
          <w:p>
            <w:pPr>
              <w:spacing w:before="20" w:after="60"/>
            </w:pPr>
            <w:r>
              <w:rPr>
                <w:b/>
                <w:i w:val="0"/>
                <w:color w:val="2F3F9E"/>
                <w:sz w:val="19"/>
              </w:rPr>
              <w:t>Interoperábilis Európa-rendelet</w:t>
            </w:r>
            <w:r>
              <w:rPr>
                <w:b w:val="0"/>
                <w:i w:val="0"/>
                <w:color w:val="646B82"/>
                <w:sz w:val="17"/>
              </w:rPr>
              <w:t xml:space="preserve"> ((EU) 2024/903 rendelet): </w:t>
            </w:r>
            <w:r>
              <w:rPr>
                <w:b w:val="0"/>
                <w:i w:val="0"/>
                <w:sz w:val="19"/>
              </w:rPr>
              <w:t>interoperabilitási értékelések a határokon átnyúló digitális közszolgáltatásokhoz, valamint nyílt forráskódú megoldások újrafelhasználása.</w:t>
            </w:r>
          </w:p>
          <w:p>
            <w:pPr>
              <w:spacing w:before="20" w:after="60"/>
            </w:pPr>
            <w:r>
              <w:rPr>
                <w:b/>
                <w:i w:val="0"/>
                <w:color w:val="2F3F9E"/>
                <w:sz w:val="19"/>
              </w:rPr>
              <w:t>Nyílt adatokról szóló irányelv</w:t>
            </w:r>
            <w:r>
              <w:rPr>
                <w:b w:val="0"/>
                <w:i w:val="0"/>
                <w:color w:val="646B82"/>
                <w:sz w:val="17"/>
              </w:rPr>
              <w:t xml:space="preserve"> ((EU) 2019/1024 irányelv): </w:t>
            </w:r>
            <w:r>
              <w:rPr>
                <w:b w:val="0"/>
                <w:i w:val="0"/>
                <w:sz w:val="19"/>
              </w:rPr>
              <w:t>nagy értékű adatkészletek ingyenes, géppel olvasható közzététele alkalmazásprogramozási felületeken (API-kon) keresztül.</w:t>
            </w:r>
          </w:p>
          <w:p>
            <w:pPr>
              <w:spacing w:before="20" w:after="60"/>
            </w:pPr>
            <w:r>
              <w:rPr>
                <w:b/>
                <w:i w:val="0"/>
                <w:color w:val="2F3F9E"/>
                <w:sz w:val="19"/>
              </w:rPr>
              <w:t>NIS 2 irányelv</w:t>
            </w:r>
            <w:r>
              <w:rPr>
                <w:b w:val="0"/>
                <w:i w:val="0"/>
                <w:color w:val="646B82"/>
                <w:sz w:val="17"/>
              </w:rPr>
              <w:t xml:space="preserve"> ((EU) 2022/2555 irányelv): </w:t>
            </w:r>
            <w:r>
              <w:rPr>
                <w:b w:val="0"/>
                <w:i w:val="0"/>
                <w:sz w:val="19"/>
              </w:rPr>
              <w:t>kiberbiztonsági alapkövetelmények; a nemzeti jog határozza meg, hogy milyen mértékben terjed ki a helyi közigazgatásra.</w:t>
            </w:r>
          </w:p>
          <w:p>
            <w:pPr>
              <w:spacing w:before="20" w:after="60"/>
            </w:pPr>
            <w:r>
              <w:rPr>
                <w:b/>
                <w:i w:val="0"/>
                <w:color w:val="2F3F9E"/>
                <w:sz w:val="19"/>
              </w:rPr>
              <w:t>GDPR</w:t>
            </w:r>
            <w:r>
              <w:rPr>
                <w:b w:val="0"/>
                <w:i w:val="0"/>
                <w:color w:val="646B82"/>
                <w:sz w:val="17"/>
              </w:rPr>
              <w:t xml:space="preserve"> ((EU) 2016/679 rendelet): </w:t>
            </w:r>
            <w:r>
              <w:rPr>
                <w:b w:val="0"/>
                <w:i w:val="0"/>
                <w:sz w:val="19"/>
              </w:rPr>
              <w:t>személyes adatok védelme a városi rendszerekben (parkolás, kamerarendszerek, mobilitás).</w:t>
            </w:r>
          </w:p>
          <w:p>
            <w:pPr>
              <w:spacing w:before="20" w:after="60"/>
            </w:pPr>
            <w:r>
              <w:rPr>
                <w:b/>
                <w:i w:val="0"/>
                <w:color w:val="2F3F9E"/>
                <w:sz w:val="19"/>
              </w:rPr>
              <w:t>Mesterséges intelligenciáról szóló rendelet</w:t>
            </w:r>
            <w:r>
              <w:rPr>
                <w:b w:val="0"/>
                <w:i w:val="0"/>
                <w:color w:val="646B82"/>
                <w:sz w:val="17"/>
              </w:rPr>
              <w:t xml:space="preserve"> ((EU) 2024/1689 rendelet): </w:t>
            </w:r>
            <w:r>
              <w:rPr>
                <w:b w:val="0"/>
                <w:i w:val="0"/>
                <w:sz w:val="19"/>
              </w:rPr>
              <w:t>a mesterségesintelligencia-rendszerekre vonatkozó szabályok; a digitális ikrekben alkalmazott MI-modellek szempontjából releváns.</w:t>
            </w:r>
          </w:p>
          <w:p>
            <w:pPr>
              <w:spacing w:before="20" w:after="60"/>
            </w:pPr>
            <w:r>
              <w:rPr>
                <w:b w:val="0"/>
                <w:i/>
                <w:color w:val="646B82"/>
                <w:sz w:val="17"/>
              </w:rPr>
              <w:t>Kizárólag tájékoztató jelleggel. Ellenőrizze az egyes jogi aktusok nemzeti átültetését.</w:t>
            </w:r>
          </w:p>
        </w:tc>
      </w:tr>
    </w:tbl>
    <w:p>
      <w:r>
        <w:br w:type="page"/>
      </w:r>
    </w:p>
    <w:p>
      <w:pPr>
        <w:spacing w:before="120" w:after="160"/>
      </w:pPr>
      <w:r>
        <w:rPr>
          <w:b/>
          <w:i w:val="0"/>
          <w:color w:val="2F3F9E"/>
          <w:sz w:val="36"/>
        </w:rPr>
        <w:t>Hogyan használja ezt az útmutatót</w:t>
      </w:r>
    </w:p>
    <w:p>
      <w:pPr>
        <w:spacing w:before="40" w:after="120"/>
      </w:pPr>
      <w:r>
        <w:rPr>
          <w:b/>
          <w:i w:val="0"/>
          <w:color w:val="2F3F9E"/>
          <w:sz w:val="22"/>
        </w:rPr>
        <w:t xml:space="preserve">1. Előkészítés  </w:t>
      </w:r>
      <w:r>
        <w:rPr>
          <w:b w:val="0"/>
          <w:i w:val="0"/>
          <w:sz w:val="20"/>
        </w:rPr>
        <w:t>Olvassa el a hét ellenőrző listát. Jelölje be azokat, amelyek a beszerzés tárgyára vonatkoznak. A legtöbb eljáráshoz szükséges a MIM0, MIM1, MIM2 és MIM6; adja hozzá a MIM3-at, ha az adatokat harmadik felekkel vagy adatportálon osztják meg, a MIM7-et térképi elemek esetén, a MIM8-at pedig digitális ikrekhez.</w:t>
      </w:r>
    </w:p>
    <w:p>
      <w:pPr>
        <w:spacing w:before="40" w:after="120"/>
      </w:pPr>
      <w:r>
        <w:rPr>
          <w:b/>
          <w:i w:val="0"/>
          <w:color w:val="2F3F9E"/>
          <w:sz w:val="22"/>
        </w:rPr>
        <w:t xml:space="preserve">2. Kiírás  </w:t>
      </w:r>
      <w:r>
        <w:rPr>
          <w:b w:val="0"/>
          <w:i w:val="0"/>
          <w:sz w:val="20"/>
        </w:rPr>
        <w:t>Másolja át a bejelölt pontokat a követelmények közé. Minden pont önálló, beilleszthető mondatként készült. Egészítse ki az átfogó szerződéses feltételekkel: minimális költséggel járnak, és megelőzik a szállítói függőséget.</w:t>
      </w:r>
    </w:p>
    <w:p>
      <w:pPr>
        <w:spacing w:before="40" w:after="120"/>
      </w:pPr>
      <w:r>
        <w:rPr>
          <w:b/>
          <w:i w:val="0"/>
          <w:color w:val="2F3F9E"/>
          <w:sz w:val="22"/>
        </w:rPr>
        <w:t xml:space="preserve">3. Bírálat  </w:t>
      </w:r>
      <w:r>
        <w:rPr>
          <w:b w:val="0"/>
          <w:i w:val="0"/>
          <w:sz w:val="20"/>
        </w:rPr>
        <w:t>Kérje az ajánlattevőktől, hogy bemutassák a megoldást, ne csak ígérjék (lásd az erre vonatkozó feltételt). Ellenőrizze a megfelelést az ajánlattevő által kitöltött megfelelőségi táblázat alapján.</w:t>
      </w:r>
    </w:p>
    <w:p>
      <w:pPr>
        <w:spacing w:before="40" w:after="120"/>
      </w:pPr>
      <w:r>
        <w:rPr>
          <w:b/>
          <w:i w:val="0"/>
          <w:color w:val="2F3F9E"/>
          <w:sz w:val="22"/>
        </w:rPr>
        <w:t xml:space="preserve">4. Teljesítés  </w:t>
      </w:r>
      <w:r>
        <w:rPr>
          <w:b w:val="0"/>
          <w:i w:val="0"/>
          <w:sz w:val="20"/>
        </w:rPr>
        <w:t>Az átadás-átvételkor tesztelje újra az összes bejelölt pontot. Az a követelmény, amelyet a teljesítéskor nem ellenőriznek, valójában soha nem is volt követelmény.</w:t>
      </w:r>
    </w:p>
    <w:p>
      <w:pPr>
        <w:spacing w:before="200" w:after="80"/>
      </w:pPr>
      <w:r>
        <w:rPr>
          <w:b/>
          <w:i w:val="0"/>
          <w:color w:val="0B7485"/>
          <w:sz w:val="22"/>
        </w:rPr>
        <w:t>A specifikáció idézeteinek értelmezése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KÖTELES / KELL (SHALL / MUST)</w:t>
            </w:r>
            <w:r>
              <w:rPr>
                <w:b w:val="0"/>
                <w:i w:val="0"/>
                <w:sz w:val="19"/>
              </w:rPr>
              <w:t xml:space="preserve">  kötelező. A rendszer enélkül nem felel meg.</w:t>
            </w:r>
          </w:p>
          <w:p>
            <w:pPr>
              <w:spacing w:before="20" w:after="60"/>
            </w:pPr>
            <w:r>
              <w:rPr>
                <w:b/>
                <w:i w:val="0"/>
                <w:color w:val="2F3F9E"/>
                <w:sz w:val="19"/>
              </w:rPr>
              <w:t xml:space="preserve">•  </w:t>
            </w:r>
            <w:r>
              <w:rPr>
                <w:b/>
                <w:i w:val="0"/>
                <w:color w:val="2F3F9E"/>
                <w:sz w:val="19"/>
                <w:highlight w:val="yellow"/>
              </w:rPr>
              <w:t>TILOS (MUST NOT)</w:t>
            </w:r>
            <w:r>
              <w:rPr>
                <w:b w:val="0"/>
                <w:i w:val="0"/>
                <w:sz w:val="19"/>
              </w:rPr>
              <w:t xml:space="preserve">  tiltott. Az ezt alkalmazó rendszer nem felel meg.</w:t>
            </w:r>
          </w:p>
          <w:p>
            <w:pPr>
              <w:spacing w:before="20" w:after="60"/>
            </w:pPr>
            <w:r>
              <w:rPr>
                <w:b/>
                <w:i w:val="0"/>
                <w:color w:val="2F3F9E"/>
                <w:sz w:val="19"/>
              </w:rPr>
              <w:t xml:space="preserve">•  </w:t>
            </w:r>
            <w:r>
              <w:rPr>
                <w:b/>
                <w:i w:val="0"/>
                <w:color w:val="2F3F9E"/>
                <w:sz w:val="19"/>
                <w:highlight w:val="yellow"/>
              </w:rPr>
              <w:t>AJÁNLOTT (SHOULD)</w:t>
            </w:r>
            <w:r>
              <w:rPr>
                <w:b w:val="0"/>
                <w:i w:val="0"/>
                <w:sz w:val="19"/>
              </w:rPr>
              <w:t xml:space="preserve">  kifejezetten ajánlott. Az eltérést alapos írásbeli indoklással kell alátámasztani.</w:t>
            </w:r>
          </w:p>
          <w:p>
            <w:pPr>
              <w:spacing w:before="20" w:after="60"/>
            </w:pPr>
            <w:r>
              <w:rPr>
                <w:b/>
                <w:i w:val="0"/>
                <w:color w:val="2F3F9E"/>
                <w:sz w:val="19"/>
              </w:rPr>
              <w:t xml:space="preserve">•  </w:t>
            </w:r>
            <w:r>
              <w:rPr>
                <w:b/>
                <w:i w:val="0"/>
                <w:color w:val="2F3F9E"/>
                <w:sz w:val="19"/>
                <w:highlight w:val="yellow"/>
              </w:rPr>
              <w:t>LEHET (MAY)</w:t>
            </w:r>
            <w:r>
              <w:rPr>
                <w:b w:val="0"/>
                <w:i w:val="0"/>
                <w:sz w:val="19"/>
              </w:rPr>
              <w:t xml:space="preserve">  választható. Hasznos kiegészítés, de nem elvárt.</w:t>
            </w:r>
          </w:p>
          <w:p>
            <w:pPr>
              <w:spacing w:before="20" w:after="60"/>
            </w:pPr>
            <w:r>
              <w:rPr>
                <w:b/>
                <w:i w:val="0"/>
                <w:color w:val="2F3F9E"/>
                <w:sz w:val="19"/>
              </w:rPr>
              <w:t xml:space="preserve">•  </w:t>
            </w:r>
            <w:r>
              <w:rPr>
                <w:b/>
                <w:i w:val="0"/>
                <w:color w:val="2F3F9E"/>
                <w:sz w:val="19"/>
                <w:highlight w:val="yellow"/>
              </w:rPr>
              <w:t>KÉPES / TUD (CAN)</w:t>
            </w:r>
            <w:r>
              <w:rPr>
                <w:b w:val="0"/>
                <w:i w:val="0"/>
                <w:sz w:val="19"/>
              </w:rPr>
              <w:t xml:space="preserve">  lehetőség, nem követelmény. A lehetséges működést jelzi, senkit sem kötelez.</w:t>
            </w:r>
          </w:p>
          <w:p>
            <w:pPr>
              <w:spacing w:before="20" w:after="60"/>
            </w:pPr>
            <w:r>
              <w:rPr>
                <w:b w:val="0"/>
                <w:i w:val="0"/>
                <w:sz w:val="19"/>
              </w:rPr>
              <w:t>Az ellenőrző lista pontjai minden tételt követelményként fogalmaznak meg, még akkor is, ha a specifikáció csupán ajánlást tesz (ajánlott), vagy lehetséges mechanizmusként sorolja fel. Ez az ajánlatkérő döntése.</w:t>
            </w:r>
          </w:p>
        </w:tc>
      </w:tr>
    </w:tbl>
    <w:p>
      <w:pPr>
        <w:spacing w:before="160" w:after="80"/>
      </w:pPr>
      <w:r>
        <w:rPr>
          <w:b w:val="0"/>
          <w:i/>
          <w:color w:val="646B82"/>
          <w:sz w:val="18"/>
        </w:rPr>
        <w:t>Minden ellenőrző listás tételhez tartozik egy rövid hivatkozás, például → MIM0 R1.1. Ez azt a MIMs Plus 9.0 követelményt jelöli, amelyből származik; a lista után közvetlenül megtalálható az adott MIM minden követelménye szó szerint. Csak a MIM0 definiálja a kulcsszavakat: ezek akkor bírnak kötőerővel, ha nagybetűvel írják őket, az IETF RFC 2119 és RFC 8174 konvenciója szerint (a CAN az ISO/IEC Directives, Part 2 dokumentumból származik). A többi MIM nem tartalmaz fogalommeghatározást: a MIM6 a SHALL szót többnyire nagybetűvel írja, a MIM2, MIM3, MIM7 és MIM8 a shall, should és must szavakat kisbetűvel használja, a MIM1 pedig csak a mechanizmus leírásában alkalmazza őket (MUST NOT a 3.1 pontban). Ez a füzet a kisbetűs kifejezéseket azonos módon értelmezi; az ajánlattevők ettől megengedőbben értelmezhetik őket.</w:t>
      </w:r>
    </w:p>
    <w:p>
      <w:r>
        <w:br w:type="page"/>
      </w:r>
    </w:p>
    <w:p>
      <w:pPr>
        <w:spacing w:before="120" w:after="160"/>
      </w:pPr>
      <w:r>
        <w:rPr>
          <w:b/>
          <w:i w:val="0"/>
          <w:color w:val="2F3F9E"/>
          <w:sz w:val="36"/>
        </w:rPr>
        <w:t>Hét MIM és három eszköz</w:t>
      </w:r>
    </w:p>
    <w:p>
      <w:pPr>
        <w:spacing w:before="40" w:after="200"/>
      </w:pPr>
      <w:r>
        <w:rPr>
          <w:b w:val="0"/>
          <w:i w:val="0"/>
          <w:sz w:val="21"/>
        </w:rPr>
        <w:t>Hét rövid mechanizmus, egyetlen cél: az adatok a város ellenőrzése alatt maradnak, a rendszerek pedig együttműködnek.</w:t>
      </w:r>
    </w:p>
    <w:p>
      <w:pPr>
        <w:spacing w:before="40" w:after="20"/>
      </w:pPr>
      <w:r>
        <w:rPr>
          <w:b/>
          <w:i w:val="0"/>
          <w:color w:val="2F3F9E"/>
          <w:sz w:val="20"/>
        </w:rPr>
        <w:t xml:space="preserve">MIM0  </w:t>
      </w:r>
      <w:r>
        <w:rPr>
          <w:b/>
          <w:i w:val="0"/>
          <w:sz w:val="20"/>
        </w:rPr>
        <w:t>Adathozzáférés</w:t>
      </w:r>
    </w:p>
    <w:p>
      <w:pPr>
        <w:spacing w:before="40" w:after="20"/>
      </w:pPr>
      <w:r>
        <w:rPr>
          <w:b/>
          <w:i w:val="0"/>
          <w:color w:val="0B7485"/>
          <w:sz w:val="19"/>
        </w:rPr>
        <w:t xml:space="preserve">Ki tudjuk nyerni az adatainkat?  </w:t>
      </w:r>
      <w:r>
        <w:rPr>
          <w:b w:val="0"/>
          <w:i w:val="0"/>
          <w:sz w:val="19"/>
        </w:rPr>
        <w:t>Az adatok szabványos webes API-kon keresztül, géppel olvasható formátumban lekérhetők.</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Adatok összekapcsolása</w:t>
      </w:r>
    </w:p>
    <w:p>
      <w:pPr>
        <w:spacing w:before="40" w:after="20"/>
      </w:pPr>
      <w:r>
        <w:rPr>
          <w:b/>
          <w:i w:val="0"/>
          <w:color w:val="0B7485"/>
          <w:sz w:val="19"/>
        </w:rPr>
        <w:t xml:space="preserve">Minden dolog időtálló elnevezéssel bír?  </w:t>
      </w:r>
      <w:r>
        <w:rPr>
          <w:b w:val="0"/>
          <w:i w:val="0"/>
          <w:sz w:val="19"/>
        </w:rPr>
        <w:t>Minden szenzor, lámpatest és épület egyedi, állandó azonosítóval rendelkezik.</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Adatreprezentáció</w:t>
      </w:r>
    </w:p>
    <w:p>
      <w:pPr>
        <w:spacing w:before="40" w:after="20"/>
      </w:pPr>
      <w:r>
        <w:rPr>
          <w:b/>
          <w:i w:val="0"/>
          <w:color w:val="0B7485"/>
          <w:sz w:val="19"/>
        </w:rPr>
        <w:t xml:space="preserve">Közös nyelvet beszélünk?  </w:t>
      </w:r>
      <w:r>
        <w:rPr>
          <w:b w:val="0"/>
          <w:i w:val="0"/>
          <w:sz w:val="19"/>
        </w:rPr>
        <w:t>Az adatok szabványos, dokumentált adatmodelleket követnek, egyértelmű mértékegységekkel.</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Adatcsere</w:t>
      </w:r>
    </w:p>
    <w:p>
      <w:pPr>
        <w:spacing w:before="40" w:after="20"/>
      </w:pPr>
      <w:r>
        <w:rPr>
          <w:b/>
          <w:i w:val="0"/>
          <w:color w:val="0B7485"/>
          <w:sz w:val="19"/>
        </w:rPr>
        <w:t xml:space="preserve">Tudunk egyértelmű feltételekkel megosztani?  </w:t>
      </w:r>
      <w:r>
        <w:rPr>
          <w:b w:val="0"/>
          <w:i w:val="0"/>
          <w:sz w:val="19"/>
        </w:rPr>
        <w:t>Az adatkészletek katalogizáltak, megosztásuk mintalicencek és világos irányítási szabályok alapján történik.</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Adatbiztonság</w:t>
      </w:r>
    </w:p>
    <w:p>
      <w:pPr>
        <w:spacing w:before="40" w:after="20"/>
      </w:pPr>
      <w:r>
        <w:rPr>
          <w:b/>
          <w:i w:val="0"/>
          <w:color w:val="0B7485"/>
          <w:sz w:val="19"/>
        </w:rPr>
        <w:t xml:space="preserve">Biztonságban vannak az adataink?  </w:t>
      </w:r>
      <w:r>
        <w:rPr>
          <w:b w:val="0"/>
          <w:i w:val="0"/>
          <w:sz w:val="19"/>
        </w:rPr>
        <w:t>Titkosított adatátvitel, szabványos bejelentkezés, szerepkör-alapú hozzáférés, naplózás.</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Térinformatikai adatok</w:t>
      </w:r>
    </w:p>
    <w:p>
      <w:pPr>
        <w:spacing w:before="40" w:after="20"/>
      </w:pPr>
      <w:r>
        <w:rPr>
          <w:b/>
          <w:i w:val="0"/>
          <w:color w:val="0B7485"/>
          <w:sz w:val="19"/>
        </w:rPr>
        <w:t xml:space="preserve">Működik térképen?  </w:t>
      </w:r>
      <w:r>
        <w:rPr>
          <w:b w:val="0"/>
          <w:i w:val="0"/>
          <w:sz w:val="19"/>
        </w:rPr>
        <w:t>A téradatok OGC felületeket, nyílt formátumokat és megadott koordináta-rendszereket használnak.</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Helyi digitális ikrek</w:t>
      </w:r>
    </w:p>
    <w:p>
      <w:pPr>
        <w:spacing w:before="40" w:after="20"/>
      </w:pPr>
      <w:r>
        <w:rPr>
          <w:b/>
          <w:i w:val="0"/>
          <w:color w:val="0B7485"/>
          <w:sz w:val="19"/>
        </w:rPr>
        <w:t xml:space="preserve">Képes növekedni a digitális ikrünk?  </w:t>
      </w:r>
      <w:r>
        <w:rPr>
          <w:b w:val="0"/>
          <w:i w:val="0"/>
          <w:sz w:val="19"/>
        </w:rPr>
        <w:t>A digitális iker adatai, modelljei és eredményei hozzáférhetők, dokumentáltak és újrafelhasználhatók maradnak.</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Eszközök a közbeszerzési eljáráshoz</w:t>
      </w:r>
    </w:p>
    <w:p>
      <w:pPr>
        <w:spacing w:before="40" w:after="20"/>
      </w:pPr>
      <w:r>
        <w:rPr>
          <w:b/>
          <w:i w:val="0"/>
          <w:color w:val="2F3F9E"/>
          <w:sz w:val="20"/>
        </w:rPr>
        <w:t>Átfogó szerződéses feltételek</w:t>
      </w:r>
    </w:p>
    <w:p>
      <w:pPr>
        <w:spacing w:before="40" w:after="120"/>
      </w:pPr>
      <w:r>
        <w:rPr>
          <w:b/>
          <w:i w:val="0"/>
          <w:color w:val="0B7485"/>
          <w:sz w:val="19"/>
        </w:rPr>
        <w:t xml:space="preserve">Mi való minden szerződésbe?  </w:t>
      </w:r>
      <w:r>
        <w:rPr>
          <w:b w:val="0"/>
          <w:i w:val="0"/>
          <w:sz w:val="19"/>
        </w:rPr>
        <w:t>Kilépés, adatjogok, API-stabilitás.</w:t>
      </w:r>
    </w:p>
    <w:p>
      <w:pPr>
        <w:spacing w:before="40" w:after="20"/>
      </w:pPr>
      <w:r>
        <w:rPr>
          <w:b/>
          <w:i w:val="0"/>
          <w:color w:val="2F3F9E"/>
          <w:sz w:val="20"/>
        </w:rPr>
        <w:t>Példa: levegőminőség-érzékelők</w:t>
      </w:r>
    </w:p>
    <w:p>
      <w:pPr>
        <w:spacing w:before="40" w:after="120"/>
      </w:pPr>
      <w:r>
        <w:rPr>
          <w:b/>
          <w:i w:val="0"/>
          <w:color w:val="0B7485"/>
          <w:sz w:val="19"/>
        </w:rPr>
        <w:t xml:space="preserve">Hogyan néz ki ez a gyakorlatban?  </w:t>
      </w:r>
      <w:r>
        <w:rPr>
          <w:b w:val="0"/>
          <w:i w:val="0"/>
          <w:sz w:val="19"/>
        </w:rPr>
        <w:t>Mi hova kerüljön, és minta szövegrészletek a beillesztéshez.</w:t>
      </w:r>
    </w:p>
    <w:p>
      <w:pPr>
        <w:spacing w:before="40" w:after="20"/>
      </w:pPr>
      <w:r>
        <w:rPr>
          <w:b/>
          <w:i w:val="0"/>
          <w:color w:val="2F3F9E"/>
          <w:sz w:val="20"/>
        </w:rPr>
        <w:t>Megfelelőségi táblázat</w:t>
      </w:r>
    </w:p>
    <w:p>
      <w:pPr>
        <w:spacing w:before="40" w:after="120"/>
      </w:pPr>
      <w:r>
        <w:rPr>
          <w:b/>
          <w:i w:val="0"/>
          <w:color w:val="0B7485"/>
          <w:sz w:val="19"/>
        </w:rPr>
        <w:t xml:space="preserve">Hogyan igazolja az ajánlattevő?  </w:t>
      </w:r>
      <w:r>
        <w:rPr>
          <w:b w:val="0"/>
          <w:i w:val="0"/>
          <w:sz w:val="19"/>
        </w:rPr>
        <w:t>Az ajánlattevő tölti ki, a bírálóbizottság ellenőrzi, és a szerződés mellékletét képezi.</w:t>
      </w:r>
    </w:p>
    <w:p>
      <w:pPr>
        <w:spacing w:before="80" w:after="80"/>
      </w:pPr>
      <w:r>
        <w:rPr>
          <w:b w:val="0"/>
          <w:i/>
          <w:color w:val="646B82"/>
          <w:sz w:val="18"/>
        </w:rPr>
        <w:t>A számozásról: a MIMs Plus 9.0 hét mechanizmust határoz meg, a 0, 1, 2, 3, 6, 7 és 8 számozással. A MIM4 (személyes adatok) és a MIM5 (méltányos MI) korábbi OASC verziókhoz tartoznak, és nem képezik a 9.0 részét. A füzetből semmi sem hiányzik.</w:t>
      </w:r>
    </w:p>
    <w:p>
      <w:r>
        <w:br w:type="page"/>
      </w:r>
    </w:p>
    <w:p>
      <w:pPr>
        <w:spacing w:before="120" w:after="40"/>
      </w:pPr>
      <w:r>
        <w:rPr>
          <w:b/>
          <w:i w:val="0"/>
          <w:color w:val="2F3F9E"/>
          <w:sz w:val="36"/>
        </w:rPr>
        <w:t>MIM0 · Ki tudjuk nyerni az adatainkat?</w:t>
      </w:r>
    </w:p>
    <w:p>
      <w:pPr>
        <w:spacing w:before="40" w:after="40"/>
      </w:pPr>
      <w:r>
        <w:rPr>
          <w:b w:val="0"/>
          <w:i w:val="0"/>
          <w:color w:val="646B82"/>
          <w:sz w:val="20"/>
        </w:rPr>
        <w:t xml:space="preserve">Adathozzáférés   </w:t>
      </w:r>
      <w:hyperlink r:id="rId13">
        <w:r>
          <w:rPr>
            <w:color w:val="2F3F9E"/>
            <w:u w:val="single"/>
            <w:sz w:val="17.0"/>
          </w:rPr>
          <w:t>mims.oascities.org/accessing-data</w:t>
        </w:r>
      </w:hyperlink>
    </w:p>
    <w:p>
      <w:pPr>
        <w:spacing w:before="120" w:after="200"/>
      </w:pPr>
      <w:r>
        <w:rPr>
          <w:b w:val="0"/>
          <w:i w:val="0"/>
          <w:sz w:val="20"/>
        </w:rPr>
        <w:t>Ez az alap. Ha az adatok nem nyerhetők ki a rendszerből szabványos felületen keresztül, minden más ebben a füzetben pusztán elmélet. A MIM0 egyetlen dolgot kér minden megvásárolt rendszertől: az adatoknak géppel olvasható formában, a szokásos weben keresztül elérhetőnek kell lenniük.</w:t>
      </w:r>
    </w:p>
    <w:p>
      <w:pPr>
        <w:spacing w:before="40" w:after="20"/>
      </w:pPr>
      <w:r>
        <w:rPr>
          <w:b/>
          <w:i w:val="0"/>
          <w:color w:val="2F3F9E"/>
          <w:sz w:val="22"/>
        </w:rPr>
        <w:t xml:space="preserve">☐  </w:t>
      </w:r>
      <w:r>
        <w:rPr>
          <w:b/>
          <w:i w:val="0"/>
          <w:color w:val="2F3F9E"/>
          <w:sz w:val="20"/>
        </w:rPr>
        <w:t xml:space="preserve">0.1  </w:t>
      </w:r>
      <w:r>
        <w:rPr>
          <w:b/>
          <w:i w:val="0"/>
          <w:sz w:val="20"/>
        </w:rPr>
        <w:t>A rendszer által gyűjtött vagy előállított valamennyi adat lekérhető legalább egy géppel olvasható formátumban (pl. JSON, CSV) egy szabványos webes API-n keresztül.</w:t>
      </w:r>
    </w:p>
    <w:p>
      <w:pPr>
        <w:spacing w:before="40" w:after="140"/>
      </w:pPr>
      <w:r>
        <w:rPr>
          <w:b w:val="0"/>
          <w:i/>
          <w:color w:val="646B82"/>
          <w:sz w:val="18"/>
        </w:rPr>
        <w:t xml:space="preserve">A következő vállalkozó — vagy a saját munkatársai — anélkül használhatják az adatokat, hogy engedélyt kellene kérniük a szállítótól.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Az API formálisan le van írva egy nyílt, géppel olvasható dokumentumban (például OpenAPI), amelyet stabil címen tesznek közzé.</w:t>
      </w:r>
    </w:p>
    <w:p>
      <w:pPr>
        <w:spacing w:before="40" w:after="140"/>
      </w:pPr>
      <w:r>
        <w:rPr>
          <w:b w:val="0"/>
          <w:i/>
          <w:color w:val="646B82"/>
          <w:sz w:val="18"/>
        </w:rPr>
        <w:t xml:space="preserve">Bármely fejlesztő csatlakozhat anélkül, hogy fizetős „integrációs műhelymunkára” lenne szükség.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Az adatok közvetlenül az API-ban szűrhetők idő, hely és attribútumok alapján.</w:t>
      </w:r>
    </w:p>
    <w:p>
      <w:pPr>
        <w:spacing w:before="40" w:after="140"/>
      </w:pPr>
      <w:r>
        <w:rPr>
          <w:b w:val="0"/>
          <w:i/>
          <w:color w:val="646B82"/>
          <w:sz w:val="18"/>
        </w:rPr>
        <w:t xml:space="preserve">Azt kéri le, amire szüksége van, nem egy éjszakai teljes mentést.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Ahol a használati eset élő adatokat igényel, az adatfelhasználók feliratkozhatnak a változásokra (webhookok, MQTT vagy hasonló), a folyamatos lekérdezés helyett.</w:t>
      </w:r>
    </w:p>
    <w:p>
      <w:pPr>
        <w:spacing w:before="40" w:after="140"/>
      </w:pPr>
      <w:r>
        <w:rPr>
          <w:b w:val="0"/>
          <w:i/>
          <w:color w:val="646B82"/>
          <w:sz w:val="18"/>
        </w:rPr>
        <w:t xml:space="preserve">A valós idejű műszerfalak és riasztások megvalósíthatóvá és olcsóvá válnak.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A hibák kezelése, a gyorsítótárazás és a lekérdezési korlátok a szabványos HTTP-konvenciókat követik és dokumentáltak.</w:t>
      </w:r>
    </w:p>
    <w:p>
      <w:pPr>
        <w:spacing w:before="40" w:after="140"/>
      </w:pPr>
      <w:r>
        <w:rPr>
          <w:b w:val="0"/>
          <w:i/>
          <w:color w:val="646B82"/>
          <w:sz w:val="18"/>
        </w:rPr>
        <w:t xml:space="preserve">Az integrációs hibák egyértelmű, javítható hibaüzenettel jelentkeznek, nem észrevétlenül.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MIÉRT FONTOS</w:t>
            </w:r>
          </w:p>
          <w:p>
            <w:pPr>
              <w:spacing w:before="20" w:after="60"/>
            </w:pPr>
            <w:r>
              <w:rPr>
                <w:b/>
                <w:i w:val="0"/>
                <w:color w:val="2F3F9E"/>
                <w:sz w:val="18"/>
              </w:rPr>
              <w:t xml:space="preserve">•  </w:t>
            </w:r>
            <w:r>
              <w:rPr>
                <w:b w:val="0"/>
                <w:i w:val="0"/>
                <w:sz w:val="18"/>
              </w:rPr>
              <w:t>A kifizetett adatok a szerződés lejárta után is használhatók maradnak.</w:t>
            </w:r>
          </w:p>
          <w:p>
            <w:pPr>
              <w:spacing w:before="20" w:after="60"/>
            </w:pPr>
            <w:r>
              <w:rPr>
                <w:b/>
                <w:i w:val="0"/>
                <w:color w:val="2F3F9E"/>
                <w:sz w:val="18"/>
              </w:rPr>
              <w:t xml:space="preserve">•  </w:t>
            </w:r>
            <w:r>
              <w:rPr>
                <w:b w:val="0"/>
                <w:i w:val="0"/>
                <w:sz w:val="18"/>
              </w:rPr>
              <w:t>Az új szolgáltatások a meglévő adatokra épülnek ahelyett, hogy a nulláról indulnának.</w:t>
            </w:r>
          </w:p>
          <w:p>
            <w:pPr>
              <w:spacing w:before="20" w:after="60"/>
            </w:pPr>
            <w:r>
              <w:rPr>
                <w:b/>
                <w:i w:val="0"/>
                <w:color w:val="2F3F9E"/>
                <w:sz w:val="18"/>
              </w:rPr>
              <w:t xml:space="preserve">•  </w:t>
            </w:r>
            <w:r>
              <w:rPr>
                <w:b w:val="0"/>
                <w:i w:val="0"/>
                <w:sz w:val="18"/>
              </w:rPr>
              <w:t>Az integrációs költségek minden további projekt esetében csökkennek.</w:t>
            </w:r>
          </w:p>
        </w:tc>
        <w:tc>
          <w:tcPr>
            <w:tcW w:type="dxa" w:w="4986"/>
            <w:shd w:val="clear" w:fill="FBEEEE"/>
          </w:tcPr>
          <w:p>
            <w:pPr>
              <w:spacing w:before="20" w:after="60"/>
            </w:pPr>
            <w:r>
              <w:rPr>
                <w:b/>
                <w:i w:val="0"/>
                <w:color w:val="A02020"/>
                <w:sz w:val="18"/>
              </w:rPr>
              <w:t>FIGYELMEZTETŐ JELEK</w:t>
            </w:r>
          </w:p>
          <w:p>
            <w:pPr>
              <w:spacing w:before="20" w:after="60"/>
            </w:pPr>
            <w:r>
              <w:rPr>
                <w:b/>
                <w:i w:val="0"/>
                <w:color w:val="A02020"/>
                <w:sz w:val="18"/>
              </w:rPr>
              <w:t xml:space="preserve">•  </w:t>
            </w:r>
            <w:r>
              <w:rPr>
                <w:b w:val="0"/>
                <w:i w:val="0"/>
                <w:sz w:val="18"/>
              </w:rPr>
              <w:t>„Adatok exportálása kérésre, az ügyfélszolgálatunkon keresztül.”</w:t>
            </w:r>
          </w:p>
          <w:p>
            <w:pPr>
              <w:spacing w:before="20" w:after="60"/>
            </w:pPr>
            <w:r>
              <w:rPr>
                <w:b/>
                <w:i w:val="0"/>
                <w:color w:val="A02020"/>
                <w:sz w:val="18"/>
              </w:rPr>
              <w:t xml:space="preserve">•  </w:t>
            </w:r>
            <w:r>
              <w:rPr>
                <w:b w:val="0"/>
                <w:i w:val="0"/>
                <w:sz w:val="18"/>
              </w:rPr>
              <w:t>„Az API fizetős kiegészítő modulként érhető el.”</w:t>
            </w:r>
          </w:p>
          <w:p>
            <w:pPr>
              <w:spacing w:before="20" w:after="60"/>
            </w:pPr>
            <w:r>
              <w:rPr>
                <w:b/>
                <w:i w:val="0"/>
                <w:color w:val="A02020"/>
                <w:sz w:val="18"/>
              </w:rPr>
              <w:t xml:space="preserve">•  </w:t>
            </w:r>
            <w:r>
              <w:rPr>
                <w:b w:val="0"/>
                <w:i w:val="0"/>
                <w:sz w:val="18"/>
              </w:rPr>
              <w:t>Lekérdezésenkénti díjszabás a város saját adataihoz (lásd a „Nincs díj a saját adatokért” pontot).</w:t>
            </w:r>
          </w:p>
        </w:tc>
      </w:tr>
    </w:tbl>
    <w:p>
      <w:pPr>
        <w:spacing w:before="280" w:after="40"/>
      </w:pPr>
      <w:r>
        <w:rPr>
          <w:b/>
          <w:i w:val="0"/>
          <w:color w:val="2F3F9E"/>
          <w:sz w:val="26"/>
        </w:rPr>
        <w:t>Mit ír elő a specifikáció</w:t>
      </w:r>
    </w:p>
    <w:p>
      <w:pPr>
        <w:spacing w:before="40" w:after="120"/>
      </w:pPr>
      <w:r>
        <w:rPr>
          <w:b w:val="0"/>
          <w:i w:val="0"/>
          <w:color w:val="646B82"/>
          <w:sz w:val="18"/>
        </w:rPr>
        <w:t>A jelen MIM valamennyi követelménye, szó szerint a MIMs Plus 9.0-ból: A specifikáció kizárólag angol nyelven létezik: a magyar szöveg a jelen füzet szerzőjének nem hivatalos fordítása; az alatta lévő angol eredeti az irányadó.</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 géppel olvasható adatok a weben keresztül lekérhetők</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A rendszerek KÖTELESEK lehetővé tenni az adatok lekérését legalább egy géppel olvasható formátumban. A formátumok HTTP tartalom-egyeztetéssel (Content-Negotiation) határozhatók meg</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Az adatoknak KÖTELEZŐEN visszanyerhetőnek KELL lenniük legalább egy szabványos webalapú mechanizmuson keresztül</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A hozzáférési mechanizmus(oka)t KÖTELEZŐ formálisan leírni</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Az adattartalom (payload) által használt adatmodelleket ajánlott meghatározni (lásd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 hozzáférés strukturált és lekérdezhető</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A rendszerek KÖTELESEK az adatokat strukturált és konzisztens felületen keresztül biztosítani</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A rendszerek KÖTELESEK támogatni az alapvető lekérdezést és/vagy szűrést (pl. idő, hely, attribútumok alapján)</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További megfontolandó bevált gyakorlatok:</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Az API-knak AJÁNLOTT támogatniuk az aktuális adatok visszanyerését</w:t>
              <w:br/>
              <w:t>Az API-knak AJÁNLOTT támogatniuk a korábbi adatok visszanyerését, ahol releváns</w:t>
              <w:br/>
              <w:t>Az API-knak AJÁNLOTT támogatniuk a térbeli lekérdezést, ahol releváns (lásd MIM7)</w:t>
              <w:br/>
              <w:t>Az API-knak AJÁNLOTT támogatniuk a változásokra való feliratkozást, ahol releváns</w:t>
              <w:br/>
              <w:t>Az API-knak AJÁNLOTT közzétenniük a következő várható frissítés időbélyegét</w:t>
              <w:br/>
              <w:t>Az API-knak AJÁNLOTT támogatniuk a végpontok kifejezett verziókezelését</w:t>
              <w:br/>
              <w:t>Az API-knak AJÁNLOTT példa hasznos terheket vagy tesztlekérdezéseket biztosítaniuk</w:t>
              <w:br/>
              <w:t>Az API-knak AJÁNLOTT támogatniuk a szabványos HTTP gyorsítótárazási fejléceket</w:t>
              <w:br/>
              <w:t>Az API-knak AJÁNLOTT a lekérdezési korlát állapotát szabványos HTTP fejléceken keresztül közölniük</w:t>
              <w:br/>
              <w:t>Az API-knak AJÁNLOTT strukturált hibatörzset visszaadniuk</w:t>
              <w:br/>
              <w:t>Az API-k LEHET, hogy támogatják a részleges válaszokat vagy lekérdezési projekciókat</w:t>
              <w:br/>
              <w:t>Az API-k LEHET, hogy közzétesznek egy szabványos állapot/egészség (health) végpontot</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Az adatok változásaira fel lehet iratkozni</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Az értesítéseket igénylő használati esetekhez szolgáló rendszerek KÖTELESEK legalább egy mechanizmust biztosítani az adatváltozásokról szóló frissítések fogadására</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A rendszerek a használati esettől függően LEHET, hogy több feliratkozási mechanizmust is támogatnak</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Az információkhoz való hozzáférés korlátozható</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Ha ilyen korlátozások vannak érvényben, azok KÖTELESEK követni a MIM3-ban és a MIM6-ban meghatározott követelményeket, különösen: szereplőazonosítás (MIM3.C5.R0), jogosultságkezelés és szerepkörök (MIM6.C1.R4), adateszköz-szintű házirendek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A teljes specifikáció: </w:t>
      </w:r>
      <w:hyperlink r:id="rId13">
        <w:r>
          <w:rPr>
            <w:color w:val="2F3F9E"/>
            <w:u w:val="single"/>
            <w:sz w:val="18"/>
          </w:rPr>
          <w:t>https://mims.oascities.org/accessing-data</w:t>
        </w:r>
      </w:hyperlink>
    </w:p>
    <w:p>
      <w:r>
        <w:br w:type="page"/>
      </w:r>
    </w:p>
    <w:p>
      <w:pPr>
        <w:spacing w:before="120" w:after="40"/>
      </w:pPr>
      <w:r>
        <w:rPr>
          <w:b/>
          <w:i w:val="0"/>
          <w:color w:val="2F3F9E"/>
          <w:sz w:val="36"/>
        </w:rPr>
        <w:t>MIM1 · Minden dolog időtálló elnevezéssel bír?</w:t>
      </w:r>
    </w:p>
    <w:p>
      <w:pPr>
        <w:spacing w:before="40" w:after="40"/>
      </w:pPr>
      <w:r>
        <w:rPr>
          <w:b w:val="0"/>
          <w:i w:val="0"/>
          <w:color w:val="646B82"/>
          <w:sz w:val="20"/>
        </w:rPr>
        <w:t xml:space="preserve">Adatok összekapcsolása   </w:t>
      </w:r>
      <w:hyperlink r:id="rId14">
        <w:r>
          <w:rPr>
            <w:color w:val="2F3F9E"/>
            <w:u w:val="single"/>
            <w:sz w:val="17.0"/>
          </w:rPr>
          <w:t>mims.oascities.org/interlinking-data</w:t>
        </w:r>
      </w:hyperlink>
    </w:p>
    <w:p>
      <w:pPr>
        <w:spacing w:before="120" w:after="200"/>
      </w:pPr>
      <w:r>
        <w:rPr>
          <w:b w:val="0"/>
          <w:i w:val="0"/>
          <w:sz w:val="20"/>
        </w:rPr>
        <w:t>Egy város tele van tárgyakkal és létesítményekkel: lámpatestek, csövek, épületek, parkolóhelyek. A rendszerek jönnek és mennek, de a dolgok megmaradnak. A MIM1 azt követeli meg, hogy minden dolog olyan nevet — azonosítót — kapjon, amely túléli az azt rögzítő szoftvert, így története és a többi adathoz fűződő kapcsolatai minden migrációt átvészelnek.</w:t>
      </w:r>
    </w:p>
    <w:p>
      <w:pPr>
        <w:spacing w:before="40" w:after="20"/>
      </w:pPr>
      <w:r>
        <w:rPr>
          <w:b/>
          <w:i w:val="0"/>
          <w:color w:val="2F3F9E"/>
          <w:sz w:val="22"/>
        </w:rPr>
        <w:t xml:space="preserve">☐  </w:t>
      </w:r>
      <w:r>
        <w:rPr>
          <w:b/>
          <w:i w:val="0"/>
          <w:color w:val="2F3F9E"/>
          <w:sz w:val="20"/>
        </w:rPr>
        <w:t xml:space="preserve">1.1  </w:t>
      </w:r>
      <w:r>
        <w:rPr>
          <w:b/>
          <w:i w:val="0"/>
          <w:sz w:val="20"/>
        </w:rPr>
        <w:t>Minden entitás (érzékelő, lámpatest, épület, parkolóhely…) egyedi, állandó azonosítóval rendelkezik, amely a szoftver cseréje esetén sem változik.</w:t>
      </w:r>
    </w:p>
    <w:p>
      <w:pPr>
        <w:spacing w:before="40" w:after="140"/>
      </w:pPr>
      <w:r>
        <w:rPr>
          <w:b w:val="0"/>
          <w:i/>
          <w:color w:val="646B82"/>
          <w:sz w:val="18"/>
        </w:rPr>
        <w:t xml:space="preserve">A rendszereken átívelő előzmények és kapcsolatok túlélik a szállítóváltást.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Az azonosító lekérdezhető az entitás adatainak és jelentésének (típusának) géppel olvasható visszanyeréséhez.</w:t>
      </w:r>
    </w:p>
    <w:p>
      <w:pPr>
        <w:spacing w:before="40" w:after="140"/>
      </w:pPr>
      <w:r>
        <w:rPr>
          <w:b w:val="0"/>
          <w:i/>
          <w:color w:val="646B82"/>
          <w:sz w:val="18"/>
        </w:rPr>
        <w:t xml:space="preserve">Más rendszerek automatikusan követni tudják a hivatkozást.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Ha ugyanaz a valós dolog több rendszerben is létezik, az azonosítók egymáshoz rendelhetők.</w:t>
      </w:r>
    </w:p>
    <w:p>
      <w:pPr>
        <w:spacing w:before="40" w:after="140"/>
      </w:pPr>
      <w:r>
        <w:rPr>
          <w:b w:val="0"/>
          <w:i/>
          <w:color w:val="646B82"/>
          <w:sz w:val="18"/>
        </w:rPr>
        <w:t xml:space="preserve">A térinformatikai épület és az energetikai rendszer épülete igazolhatóan ugyanaz az épület.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Az azonosítók nem tartalmaznak a szállító belső működésére utaló adatokat (adatbázissor-azonosítók, szervernevek).</w:t>
      </w:r>
    </w:p>
    <w:p>
      <w:pPr>
        <w:spacing w:before="40" w:after="140"/>
      </w:pPr>
      <w:r>
        <w:rPr>
          <w:b w:val="0"/>
          <w:i/>
          <w:color w:val="646B82"/>
          <w:sz w:val="18"/>
        </w:rPr>
        <w:t xml:space="preserve">Különben az azonosítók a szerződéssel együtt elvesznek.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MIÉRT FONTOS</w:t>
            </w:r>
          </w:p>
          <w:p>
            <w:pPr>
              <w:spacing w:before="20" w:after="60"/>
            </w:pPr>
            <w:r>
              <w:rPr>
                <w:b/>
                <w:i w:val="0"/>
                <w:color w:val="2F3F9E"/>
                <w:sz w:val="18"/>
              </w:rPr>
              <w:t xml:space="preserve">•  </w:t>
            </w:r>
            <w:r>
              <w:rPr>
                <w:b w:val="0"/>
                <w:i w:val="0"/>
                <w:sz w:val="18"/>
              </w:rPr>
              <w:t>Tíz év mérési adatai a megfelelő kandeláberhez kapcsolódva maradnak.</w:t>
            </w:r>
          </w:p>
          <w:p>
            <w:pPr>
              <w:spacing w:before="20" w:after="60"/>
            </w:pPr>
            <w:r>
              <w:rPr>
                <w:b/>
                <w:i w:val="0"/>
                <w:color w:val="2F3F9E"/>
                <w:sz w:val="18"/>
              </w:rPr>
              <w:t xml:space="preserve">•  </w:t>
            </w:r>
            <w:r>
              <w:rPr>
                <w:b w:val="0"/>
                <w:i w:val="0"/>
                <w:sz w:val="18"/>
              </w:rPr>
              <w:t>A szervezeti egységek nem tartanak fenn öt különböző, egymásnak ellentmondó nyilvántartást ugyanazokról az eszközökről.</w:t>
            </w:r>
          </w:p>
          <w:p>
            <w:pPr>
              <w:spacing w:before="20" w:after="60"/>
            </w:pPr>
            <w:r>
              <w:rPr>
                <w:b/>
                <w:i w:val="0"/>
                <w:color w:val="2F3F9E"/>
                <w:sz w:val="18"/>
              </w:rPr>
              <w:t xml:space="preserve">•  </w:t>
            </w:r>
            <w:r>
              <w:rPr>
                <w:b w:val="0"/>
                <w:i w:val="0"/>
                <w:sz w:val="18"/>
              </w:rPr>
              <w:t>Az adatkészletek összekapcsolása lekérdezés lesz, nem tanácsadói projekt.</w:t>
            </w:r>
          </w:p>
        </w:tc>
        <w:tc>
          <w:tcPr>
            <w:tcW w:type="dxa" w:w="4986"/>
            <w:shd w:val="clear" w:fill="FBEEEE"/>
          </w:tcPr>
          <w:p>
            <w:pPr>
              <w:spacing w:before="20" w:after="60"/>
            </w:pPr>
            <w:r>
              <w:rPr>
                <w:b/>
                <w:i w:val="0"/>
                <w:color w:val="A02020"/>
                <w:sz w:val="18"/>
              </w:rPr>
              <w:t>FIGYELMEZTETŐ JELEK</w:t>
            </w:r>
          </w:p>
          <w:p>
            <w:pPr>
              <w:spacing w:before="20" w:after="60"/>
            </w:pPr>
            <w:r>
              <w:rPr>
                <w:b/>
                <w:i w:val="0"/>
                <w:color w:val="A02020"/>
                <w:sz w:val="18"/>
              </w:rPr>
              <w:t xml:space="preserve">•  </w:t>
            </w:r>
            <w:r>
              <w:rPr>
                <w:b w:val="0"/>
                <w:i w:val="0"/>
                <w:sz w:val="18"/>
              </w:rPr>
              <w:t>„Az azonosítók a saját platformunk belső azonosítói.”</w:t>
            </w:r>
          </w:p>
          <w:p>
            <w:pPr>
              <w:spacing w:before="20" w:after="60"/>
            </w:pPr>
            <w:r>
              <w:rPr>
                <w:b/>
                <w:i w:val="0"/>
                <w:color w:val="A02020"/>
                <w:sz w:val="18"/>
              </w:rPr>
              <w:t xml:space="preserve">•  </w:t>
            </w:r>
            <w:r>
              <w:rPr>
                <w:b w:val="0"/>
                <w:i w:val="0"/>
                <w:sz w:val="18"/>
              </w:rPr>
              <w:t>Az azonosítók minden adatmigráció alkalmával újra létrejönnek.</w:t>
            </w:r>
          </w:p>
        </w:tc>
      </w:tr>
    </w:tbl>
    <w:p>
      <w:pPr>
        <w:spacing w:before="280" w:after="40"/>
      </w:pPr>
      <w:r>
        <w:rPr>
          <w:b/>
          <w:i w:val="0"/>
          <w:color w:val="2F3F9E"/>
          <w:sz w:val="26"/>
        </w:rPr>
        <w:t>Mit ír elő a specifikáció</w:t>
      </w:r>
    </w:p>
    <w:p>
      <w:pPr>
        <w:spacing w:before="40" w:after="120"/>
      </w:pPr>
      <w:r>
        <w:rPr>
          <w:b w:val="0"/>
          <w:i w:val="0"/>
          <w:color w:val="646B82"/>
          <w:sz w:val="18"/>
        </w:rPr>
        <w:t>A jelen MIM valamennyi követelménye, szó szerint a MIMs Plus 9.0-ból: A specifikáció kizárólag angol nyelven létezik: a magyar szöveg a jelen füzet szerzőjének nem hivatalos fordítása; az alatta lévő angol eredeti az irányadó.</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Az entitások azonosítása egyedi azonosítókkal történik</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A rendszeren belül minden entitás egyedi azonosítóval rendelkezik</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Létezik mód az entitásra vonatkozó információk lekérésére az azonosító rendszeren belüli kikeresésével</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ha egy egyedi azonosító ugyanarra az entitásra mutat több rendszeren belül, lehetséges meghatározni az arra vonatkozó információk lekérésének módját ezen rendszerek mindegyikében</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ha több egyedi azonosító mutat ugyanarra az entitásra, lehetséges azok egymáshoz rendelése</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Lehetséges olyan azonosítókat létrehozni, amelyek időben állandóak</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Az entitások típussal láthatók el</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Létezik mód egy entitás szemantikájának lekérésére kizárólag az egyedi azonosítója használatával</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Ez a szemantika géppel olvasható formátumban van leírva</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Az entitások (feloldhatóan) hivatkozhatók</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Létezik mód egy entitáson meghatározott reláció feloldására (dereferálására)</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Létezik mód további szemantika alkalmazására egy meglévő ontológián</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1. mechanizmus, 3.1. szakasz: Entitásazonosítás globálisan egyedi IRI-kkel</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Az IRI az összes downstream rendszerben kanonikus azonosítóként kezelendő; a megvalósításoknak TILOS olyan IRI-ket generálniuk, amelyek változékony megvalósítási részleteket tartalmaznak, például adatbázissor-azonosítókat vagy szerver-gazdagépneveket.</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A teljes specifikáció: </w:t>
      </w:r>
      <w:hyperlink r:id="rId14">
        <w:r>
          <w:rPr>
            <w:color w:val="2F3F9E"/>
            <w:u w:val="single"/>
            <w:sz w:val="18"/>
          </w:rPr>
          <w:t>https://mims.oascities.org/interlinking-data</w:t>
        </w:r>
      </w:hyperlink>
    </w:p>
    <w:p>
      <w:r>
        <w:br w:type="page"/>
      </w:r>
    </w:p>
    <w:p>
      <w:pPr>
        <w:spacing w:before="120" w:after="40"/>
      </w:pPr>
      <w:r>
        <w:rPr>
          <w:b/>
          <w:i w:val="0"/>
          <w:color w:val="2F3F9E"/>
          <w:sz w:val="36"/>
        </w:rPr>
        <w:t>MIM2 · Közös nyelvet beszélünk?</w:t>
      </w:r>
    </w:p>
    <w:p>
      <w:pPr>
        <w:spacing w:before="40" w:after="40"/>
      </w:pPr>
      <w:r>
        <w:rPr>
          <w:b w:val="0"/>
          <w:i w:val="0"/>
          <w:color w:val="646B82"/>
          <w:sz w:val="20"/>
        </w:rPr>
        <w:t xml:space="preserve">Adatreprezentáció   </w:t>
      </w:r>
      <w:hyperlink r:id="rId15">
        <w:r>
          <w:rPr>
            <w:color w:val="2F3F9E"/>
            <w:u w:val="single"/>
            <w:sz w:val="17.0"/>
          </w:rPr>
          <w:t>mims.oascities.org/representing-data</w:t>
        </w:r>
      </w:hyperlink>
    </w:p>
    <w:p>
      <w:pPr>
        <w:spacing w:before="120" w:after="200"/>
      </w:pPr>
      <w:r>
        <w:rPr>
          <w:b w:val="0"/>
          <w:i w:val="0"/>
          <w:sz w:val="20"/>
        </w:rPr>
        <w:t>Két rendszer hiába exportál JSON formátumot, mégis előfordulhat, hogy nem értik meg egymást. A MIM2 a jelentésről szól: közös, dokumentált adatmodellek használata — egyértelmű mértékegységekkel és formátumokkal —, hogy a „hőmérséklet”, „parkolóhely” vagy „levegőminőség” minden meglévő rendszerben pontosan ugyanazt jelentse.</w:t>
      </w:r>
    </w:p>
    <w:p>
      <w:pPr>
        <w:spacing w:before="40" w:after="20"/>
      </w:pPr>
      <w:r>
        <w:rPr>
          <w:b/>
          <w:i w:val="0"/>
          <w:color w:val="2F3F9E"/>
          <w:sz w:val="22"/>
        </w:rPr>
        <w:t xml:space="preserve">☐  </w:t>
      </w:r>
      <w:r>
        <w:rPr>
          <w:b/>
          <w:i w:val="0"/>
          <w:color w:val="2F3F9E"/>
          <w:sz w:val="20"/>
        </w:rPr>
        <w:t xml:space="preserve">2.1  </w:t>
      </w:r>
      <w:r>
        <w:rPr>
          <w:b/>
          <w:i w:val="0"/>
          <w:sz w:val="20"/>
        </w:rPr>
        <w:t>Az adatok általánosan elfogadott szabványos adatmodelleket alkalmaznak, ahol ilyenek léteznek (pl. Smart Data Models, SAREF, ISO/IEC 5087); az eltéréseket írásban indokolni kell.</w:t>
      </w:r>
    </w:p>
    <w:p>
      <w:pPr>
        <w:spacing w:before="40" w:after="140"/>
      </w:pPr>
      <w:r>
        <w:rPr>
          <w:b w:val="0"/>
          <w:i/>
          <w:color w:val="646B82"/>
          <w:sz w:val="18"/>
        </w:rPr>
        <w:t xml:space="preserve">Két különböző szállítótól származó adatok adatátalakítási projekt nélkül összevonhatók.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Minden használt adatmodell kifejezetten dokumentált, a mértékegységek és a dátum-/időformátumok feltüntetésével.</w:t>
      </w:r>
    </w:p>
    <w:p>
      <w:pPr>
        <w:spacing w:before="40" w:after="140"/>
      </w:pPr>
      <w:r>
        <w:rPr>
          <w:b w:val="0"/>
          <w:i/>
          <w:color w:val="646B82"/>
          <w:sz w:val="18"/>
        </w:rPr>
        <w:t xml:space="preserve">A „Hőmérséklet: 23” használhatatlan, ha senki sem rögzítette, hogy az °C vagy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A kiterjesztéseket a szabványos modellre épülő, dokumentált profilokként vagy kiegészítésekként kell átadni — sohasem módosított, privát fork-ként.</w:t>
      </w:r>
    </w:p>
    <w:p>
      <w:pPr>
        <w:spacing w:before="40" w:after="140"/>
      </w:pPr>
      <w:r>
        <w:rPr>
          <w:b w:val="0"/>
          <w:i/>
          <w:color w:val="646B82"/>
          <w:sz w:val="18"/>
        </w:rPr>
        <w:t xml:space="preserve">Megmarad a kompatibilitás a közösséggel és a jövőbeli frissítésekkel.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Minden modell rendelkezik legalább egy nyílt, sémával ellenőrizhető szerializációval (pl. JSON séma szerinti JSON-nal).</w:t>
      </w:r>
    </w:p>
    <w:p>
      <w:pPr>
        <w:spacing w:before="40" w:after="140"/>
      </w:pPr>
      <w:r>
        <w:rPr>
          <w:b w:val="0"/>
          <w:i/>
          <w:color w:val="646B82"/>
          <w:sz w:val="18"/>
        </w:rPr>
        <w:t xml:space="preserve">A beérkező adatok már a belépési ponton automatikusan ellenőrizhetők.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MIÉRT FONTOS</w:t>
            </w:r>
          </w:p>
          <w:p>
            <w:pPr>
              <w:spacing w:before="20" w:after="60"/>
            </w:pPr>
            <w:r>
              <w:rPr>
                <w:b/>
                <w:i w:val="0"/>
                <w:color w:val="2F3F9E"/>
                <w:sz w:val="18"/>
              </w:rPr>
              <w:t xml:space="preserve">•  </w:t>
            </w:r>
            <w:r>
              <w:rPr>
                <w:b w:val="0"/>
                <w:i w:val="0"/>
                <w:sz w:val="18"/>
              </w:rPr>
              <w:t>Egyetlen műszerfal több szállító adatait is képes beolvasni illesztőprogramok nélkül.</w:t>
            </w:r>
          </w:p>
          <w:p>
            <w:pPr>
              <w:spacing w:before="20" w:after="60"/>
            </w:pPr>
            <w:r>
              <w:rPr>
                <w:b/>
                <w:i w:val="0"/>
                <w:color w:val="2F3F9E"/>
                <w:sz w:val="18"/>
              </w:rPr>
              <w:t xml:space="preserve">•  </w:t>
            </w:r>
            <w:r>
              <w:rPr>
                <w:b w:val="0"/>
                <w:i w:val="0"/>
                <w:sz w:val="18"/>
              </w:rPr>
              <w:t>Az adatokat más városok eszközei is értik — az övéiket pedig a mi rendszereink.</w:t>
            </w:r>
          </w:p>
          <w:p>
            <w:pPr>
              <w:spacing w:before="20" w:after="60"/>
            </w:pPr>
            <w:r>
              <w:rPr>
                <w:b/>
                <w:i w:val="0"/>
                <w:color w:val="2F3F9E"/>
                <w:sz w:val="18"/>
              </w:rPr>
              <w:t xml:space="preserve">•  </w:t>
            </w:r>
            <w:r>
              <w:rPr>
                <w:b w:val="0"/>
                <w:i w:val="0"/>
                <w:sz w:val="18"/>
              </w:rPr>
              <w:t>Az automatikus érvényesítés kiszűri a hibás adatokat, mielőtt azok továbbterjednének.</w:t>
            </w:r>
          </w:p>
        </w:tc>
        <w:tc>
          <w:tcPr>
            <w:tcW w:type="dxa" w:w="4986"/>
            <w:shd w:val="clear" w:fill="FBEEEE"/>
          </w:tcPr>
          <w:p>
            <w:pPr>
              <w:spacing w:before="20" w:after="60"/>
            </w:pPr>
            <w:r>
              <w:rPr>
                <w:b/>
                <w:i w:val="0"/>
                <w:color w:val="A02020"/>
                <w:sz w:val="18"/>
              </w:rPr>
              <w:t>FIGYELMEZTETŐ JELEK</w:t>
            </w:r>
          </w:p>
          <w:p>
            <w:pPr>
              <w:spacing w:before="20" w:after="60"/>
            </w:pPr>
            <w:r>
              <w:rPr>
                <w:b/>
                <w:i w:val="0"/>
                <w:color w:val="A02020"/>
                <w:sz w:val="18"/>
              </w:rPr>
              <w:t xml:space="preserve">•  </w:t>
            </w:r>
            <w:r>
              <w:rPr>
                <w:b w:val="0"/>
                <w:i w:val="0"/>
                <w:sz w:val="18"/>
              </w:rPr>
              <w:t>„A mi zárt adatmodellünk részletesebb, mint a szabvány.”</w:t>
            </w:r>
          </w:p>
          <w:p>
            <w:pPr>
              <w:spacing w:before="20" w:after="60"/>
            </w:pPr>
            <w:r>
              <w:rPr>
                <w:b/>
                <w:i w:val="0"/>
                <w:color w:val="A02020"/>
                <w:sz w:val="18"/>
              </w:rPr>
              <w:t xml:space="preserve">•  </w:t>
            </w:r>
            <w:r>
              <w:rPr>
                <w:b w:val="0"/>
                <w:i w:val="0"/>
                <w:sz w:val="18"/>
              </w:rPr>
              <w:t>A dokumentáció csak titoktartási nyilatkozattal érhető el.</w:t>
            </w:r>
          </w:p>
        </w:tc>
      </w:tr>
    </w:tbl>
    <w:p>
      <w:pPr>
        <w:spacing w:before="280" w:after="40"/>
      </w:pPr>
      <w:r>
        <w:rPr>
          <w:b/>
          <w:i w:val="0"/>
          <w:color w:val="2F3F9E"/>
          <w:sz w:val="26"/>
        </w:rPr>
        <w:t>Mit ír elő a specifikáció</w:t>
      </w:r>
    </w:p>
    <w:p>
      <w:pPr>
        <w:spacing w:before="40" w:after="120"/>
      </w:pPr>
      <w:r>
        <w:rPr>
          <w:b w:val="0"/>
          <w:i w:val="0"/>
          <w:color w:val="646B82"/>
          <w:sz w:val="18"/>
        </w:rPr>
        <w:t>A jelen MIM valamennyi követelménye, szó szerint a MIMs Plus 9.0-ból: A specifikáció kizárólag angol nyelven létezik: a magyar szöveg a jelen füzet szerzőjének nem hivatalos fordítása; az alatta lévő angol eredeti az irányadó.</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Az adatforrásokban szereplő összes entitás konzisztens adatmodellekkel van leírva az alkalmazások és rendszerek együttműködésének lehetővé tétele érdekében</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Bármely adatforrásban minden entitás esetében használt adatmodellt kifejezetté kell tenni. Ezeknek jól dokumentáltnak kell lenniük, és leíró metaadatokkal kell rendelkezniük, ahol a használt kifejezések szemantikailag egyértelműek. A mértékegységekhez, időformátumokhoz stb. kapcsolódó attribútumok esetében a használt egységeket, formátumokat stb. kifejezetté kell tenni. Az adatmodelleket ajánlott katalogizálni, hogy könnyen megtalálhatók legyenek.</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A használt adatmodelleknek (ahol csak lehetséges) az alább felsorolt, általánosan elfogadott szabványosított adatmodelleken kell alapulniuk</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Ahol nem lehetséges meglévő szabványosított adatmodellek használata, erőfeszítéseket kell tenni a leginkább illeszkedő meglévő szabványosított adatmodellek kiterjesztésére vagy újak meghatározására, követve az adatmodelleket meghatározó közösség vagy szervezet bevált gyakorlatát és konvencióit.</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A használt adatmodelleknek támogatniuk kell az adatcserét az adathozzáférésről és az adatok összekapcsolásáról szóló MIM-ek releváns követelményeinek alkalmazásával</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Ugyanazon entitásnak a közös adatmegosztási ökoszisztémában használt különböző adatmodelljei ajánlott, hogy könnyen átalakíthatók legyenek egy közös adatmodellre</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Minden adat-ökoszisztéma számára ajánlott egy közös adatmodellt kidolgozni az egyes kulcsfontosságú entitásokhoz. Ennek a közös adatmodellnek ajánlott tartalmaznia mindazokat a mezőket, amelyek az adott adat-ökoszisztémán belül az adott entitáshoz használt különböző adatmodellekben szerepelnek. Az adott adat-ökoszisztémán belül használt minden egyes eltérő adatmodell ezután átalakítható a közös adatmodellre.</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Bármely adat és a hozzá kapcsolódó metaadat megosztható nyílt, szabványosított adattovábbítási formátumokban, így az adatok konzisztensen cserélhetők és értelmezhetők a különböző eszközök és megvalósítások által</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Minden használt adatmodellnek rendelkeznie kell legalább egy meghatározott, géppel olvasható adattovábbítási formátummal („szerializációval”), amely nyílt, nyilvánosan elérhető és megvalósítás-független.</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Az adattovábbítási formátum dokumentációjának ajánlott elegendőnek lennie ahhoz, hogy lehetővé tegye olyan nem védett alkalmazás vagy értelmező létrehozását, amely képes az ilyen adatformátumban tárolt összes adat rekonstruálására.</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Ahol ugyanazon adatmodellhez több adattovábbítási formátum támogatott, azoknak ugyanazt az információtartalmat kell képviselniük, következetesen és jelentésvesztés nélkül.</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A reprezentációnak ajánlott támogatnia a nyíltan közzétett sémák, nyelvtanok vagy egyenértékű, géppel olvasható megkötések használatával történő érvényesítést, amennyiben léteznek ilyen érvényesítési mechanizmusok a választott formátumhoz.</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Indokolt esetben ajánlott lehetővé tenni „alkalmazásprofilok” létrehozását egy adatmodellhez, hogy használatieset-specifikus attribútumok hozzáadhatók vagy megadhatók legyenek az alapul szolgáló adatmodell módosítása nélkül</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Az adatmodellt kiterjesztő alkalmazásprofiloknak ajánlott nem érinteniük a már meglévő modellt és annak felhasználóit</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A modell alkalmazásprofiljában bevezetett specializációkat vagy kiterjesztéseket ajánlott jól dokumentálni, az alap adatmodelltől elkülönítve</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A teljes specifikáció: </w:t>
      </w:r>
      <w:hyperlink r:id="rId15">
        <w:r>
          <w:rPr>
            <w:color w:val="2F3F9E"/>
            <w:u w:val="single"/>
            <w:sz w:val="18"/>
          </w:rPr>
          <w:t>https://mims.oascities.org/representing-data</w:t>
        </w:r>
      </w:hyperlink>
    </w:p>
    <w:p>
      <w:r>
        <w:br w:type="page"/>
      </w:r>
    </w:p>
    <w:p>
      <w:pPr>
        <w:spacing w:before="120" w:after="40"/>
      </w:pPr>
      <w:r>
        <w:rPr>
          <w:b/>
          <w:i w:val="0"/>
          <w:color w:val="2F3F9E"/>
          <w:sz w:val="36"/>
        </w:rPr>
        <w:t>MIM3 · Tudunk egyértelmű feltételekkel megosztani?</w:t>
      </w:r>
    </w:p>
    <w:p>
      <w:pPr>
        <w:spacing w:before="40" w:after="40"/>
      </w:pPr>
      <w:r>
        <w:rPr>
          <w:b w:val="0"/>
          <w:i w:val="0"/>
          <w:color w:val="646B82"/>
          <w:sz w:val="20"/>
        </w:rPr>
        <w:t xml:space="preserve">Adatcsere   </w:t>
      </w:r>
      <w:hyperlink r:id="rId16">
        <w:r>
          <w:rPr>
            <w:color w:val="2F3F9E"/>
            <w:u w:val="single"/>
            <w:sz w:val="17.0"/>
          </w:rPr>
          <w:t>mims.oascities.org/exchanging-data</w:t>
        </w:r>
      </w:hyperlink>
    </w:p>
    <w:p>
      <w:pPr>
        <w:spacing w:before="120" w:after="200"/>
      </w:pPr>
      <w:r>
        <w:rPr>
          <w:b w:val="0"/>
          <w:i w:val="0"/>
          <w:sz w:val="20"/>
        </w:rPr>
        <w:t>Nem minden városi adat tehető egyszerűen közzé: egyes adatok üzleti célúak, mások érzékenyek. A MIM3 arról gondoskodik, hogy a többi adatot mindenesetre biztonságosan meg lehessen osztani: kereshető katalógus, egyedi jogi szövegek helyett mintalicencek és mindenki számára olvasható adatirányítási szabályok révén. A specifikáció a MIM3 szinte minden elemét ajánlásként fogalmazza meg (lásd a 3. oldalt).</w:t>
      </w:r>
    </w:p>
    <w:p>
      <w:pPr>
        <w:spacing w:before="40" w:after="20"/>
      </w:pPr>
      <w:r>
        <w:rPr>
          <w:b/>
          <w:i w:val="0"/>
          <w:color w:val="2F3F9E"/>
          <w:sz w:val="22"/>
        </w:rPr>
        <w:t xml:space="preserve">☐  </w:t>
      </w:r>
      <w:r>
        <w:rPr>
          <w:b/>
          <w:i w:val="0"/>
          <w:color w:val="2F3F9E"/>
          <w:sz w:val="20"/>
        </w:rPr>
        <w:t xml:space="preserve">3.1  </w:t>
      </w:r>
      <w:r>
        <w:rPr>
          <w:b/>
          <w:i w:val="0"/>
          <w:sz w:val="20"/>
        </w:rPr>
        <w:t>A rendszer által kínált minden adatkészlet szabványos metaadatokkal (például DCAT-AP) le van írva egy katalógusban, így mások is megtalálhatják.</w:t>
      </w:r>
    </w:p>
    <w:p>
      <w:pPr>
        <w:spacing w:before="40" w:after="140"/>
      </w:pPr>
      <w:r>
        <w:rPr>
          <w:b w:val="0"/>
          <w:i/>
          <w:color w:val="646B82"/>
          <w:sz w:val="18"/>
        </w:rPr>
        <w:t xml:space="preserve">Amit senki sem talál meg, azt senki sem használja.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Az adatfelhasználási feltételek és licencek jól ismert mintákból származnak (pl. nyílt licencek, szabványos adatmegosztási megállapodások), nem adatkészletenkénti egyedi jogi szövegek.</w:t>
      </w:r>
    </w:p>
    <w:p>
      <w:pPr>
        <w:spacing w:before="40" w:after="140"/>
      </w:pPr>
      <w:r>
        <w:rPr>
          <w:b w:val="0"/>
          <w:i/>
          <w:color w:val="646B82"/>
          <w:sz w:val="18"/>
        </w:rPr>
        <w:t xml:space="preserve">A megállapodások eseti jogi felülvizsgálat nélkül is skálázhatók.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A város maga határozhatja meg, hogy melyik adateszközhöz ki és milyen feltételekkel férhet hozzá, és ezen a szállító bevonása nélkül változtathat.</w:t>
      </w:r>
    </w:p>
    <w:p>
      <w:pPr>
        <w:spacing w:before="40" w:after="140"/>
      </w:pPr>
      <w:r>
        <w:rPr>
          <w:b w:val="0"/>
          <w:i/>
          <w:color w:val="646B82"/>
          <w:sz w:val="18"/>
        </w:rPr>
        <w:t xml:space="preserve">Az adatok feletti irányítás (adatirányítás) az önkormányzat kezében marad.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MIÉRT FONTOS</w:t>
            </w:r>
          </w:p>
          <w:p>
            <w:pPr>
              <w:spacing w:before="20" w:after="60"/>
            </w:pPr>
            <w:r>
              <w:rPr>
                <w:b/>
                <w:i w:val="0"/>
                <w:color w:val="2F3F9E"/>
                <w:sz w:val="18"/>
              </w:rPr>
              <w:t xml:space="preserve">•  </w:t>
            </w:r>
            <w:r>
              <w:rPr>
                <w:b w:val="0"/>
                <w:i w:val="0"/>
                <w:sz w:val="18"/>
              </w:rPr>
              <w:t>Helyi vállalkozások és kutatók építhetnek a város adataira — az érték a régióban marad.</w:t>
            </w:r>
          </w:p>
          <w:p>
            <w:pPr>
              <w:spacing w:before="20" w:after="60"/>
            </w:pPr>
            <w:r>
              <w:rPr>
                <w:b/>
                <w:i w:val="0"/>
                <w:color w:val="2F3F9E"/>
                <w:sz w:val="18"/>
              </w:rPr>
              <w:t xml:space="preserve">•  </w:t>
            </w:r>
            <w:r>
              <w:rPr>
                <w:b w:val="0"/>
                <w:i w:val="0"/>
                <w:sz w:val="18"/>
              </w:rPr>
              <w:t>Az érzékeny adatok pontosan a megfelelő partnerekkel oszthatók meg, elkerülve a „mindenkinek vagy senkinek” végleteket.</w:t>
            </w:r>
          </w:p>
          <w:p>
            <w:pPr>
              <w:spacing w:before="20" w:after="60"/>
            </w:pPr>
            <w:r>
              <w:rPr>
                <w:b/>
                <w:i w:val="0"/>
                <w:color w:val="2F3F9E"/>
                <w:sz w:val="18"/>
              </w:rPr>
              <w:t xml:space="preserve">•  </w:t>
            </w:r>
            <w:r>
              <w:rPr>
                <w:b w:val="0"/>
                <w:i w:val="0"/>
                <w:sz w:val="18"/>
              </w:rPr>
              <w:t>Egyetlen szabályrendszer váltja fel a sok egyedi adatmegosztási szerződést.</w:t>
            </w:r>
          </w:p>
        </w:tc>
        <w:tc>
          <w:tcPr>
            <w:tcW w:type="dxa" w:w="4986"/>
            <w:shd w:val="clear" w:fill="FBEEEE"/>
          </w:tcPr>
          <w:p>
            <w:pPr>
              <w:spacing w:before="20" w:after="60"/>
            </w:pPr>
            <w:r>
              <w:rPr>
                <w:b/>
                <w:i w:val="0"/>
                <w:color w:val="A02020"/>
                <w:sz w:val="18"/>
              </w:rPr>
              <w:t>FIGYELMEZTETŐ JELEK</w:t>
            </w:r>
          </w:p>
          <w:p>
            <w:pPr>
              <w:spacing w:before="20" w:after="60"/>
            </w:pPr>
            <w:r>
              <w:rPr>
                <w:b/>
                <w:i w:val="0"/>
                <w:color w:val="A02020"/>
                <w:sz w:val="18"/>
              </w:rPr>
              <w:t xml:space="preserve">•  </w:t>
            </w:r>
            <w:r>
              <w:rPr>
                <w:b w:val="0"/>
                <w:i w:val="0"/>
                <w:sz w:val="18"/>
              </w:rPr>
              <w:t>A szállító jogokat formál a város adataira (lásd az „Adatok feletti jogok” pontot).</w:t>
            </w:r>
          </w:p>
          <w:p>
            <w:pPr>
              <w:spacing w:before="20" w:after="60"/>
            </w:pPr>
            <w:r>
              <w:rPr>
                <w:b/>
                <w:i w:val="0"/>
                <w:color w:val="A02020"/>
                <w:sz w:val="18"/>
              </w:rPr>
              <w:t xml:space="preserve">•  </w:t>
            </w:r>
            <w:r>
              <w:rPr>
                <w:b w:val="0"/>
                <w:i w:val="0"/>
                <w:sz w:val="18"/>
              </w:rPr>
              <w:t>A harmadik féllel történő megosztás a szállító hozzájárulását vagy különdíj fizetését igényli.</w:t>
            </w:r>
          </w:p>
        </w:tc>
      </w:tr>
    </w:tbl>
    <w:p>
      <w:pPr>
        <w:spacing w:before="280" w:after="40"/>
      </w:pPr>
      <w:r>
        <w:rPr>
          <w:b/>
          <w:i w:val="0"/>
          <w:color w:val="2F3F9E"/>
          <w:sz w:val="26"/>
        </w:rPr>
        <w:t>Mit ír elő a specifikáció</w:t>
      </w:r>
    </w:p>
    <w:p>
      <w:pPr>
        <w:spacing w:before="40" w:after="120"/>
      </w:pPr>
      <w:r>
        <w:rPr>
          <w:b w:val="0"/>
          <w:i w:val="0"/>
          <w:color w:val="646B82"/>
          <w:sz w:val="18"/>
        </w:rPr>
        <w:t>A jelen MIM valamennyi követelménye, szó szerint a MIMs Plus 9.0-ból: A specifikáció kizárólag angol nyelven létezik: a magyar szöveg a jelen füzet szerzőjének nem hivatalos fordítása; az alatta lévő angol eredeti az irányadó.</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Az adatmegosztási ökoszisztéma irányítási szabályai meghatározhatók</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Az adat-ökoszisztéma koordinátorának ajánlott képesnek lennie olyan irányítási modell (pl. szabálykönyv) meghatározására, amely felvázolja a tagsági szabályokat, az ökoszisztéma résztvevőinek szerepköreit, felelősségeit és kötelezettségeit, valamint a köztük zajló adatcserét szabályozó átfogó elveket.</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Az adat-ökoszisztémában részt vevő tagoknak ajánlott tisztában lenniük annak irányítási modelljével és az azon végrehajtott módosításokkal.</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Az irányítási modellnek ajánlott könnyen érthetőnek lennie az ökoszisztéma minden résztvevője számára.</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Az adatmegosztás feltételei meghatározhatók</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Az adatszolgáltatók szabadon határozhatják meg azokat a feltételeket, amelyek mellett adataikat cserélni kívánják. (Megjegyzés: Az adateszközök megosztása előtt az adatszolgáltatóknak ajánlott megbizonyosodniuk arról, hogy rendelkeznek a megfelelő engedéllyel az adattulajdonosoktól.)</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Az adatcsere feltételeit ajánlott világosan és egyértelműen leírni, hogy azok az adatfelhasználók számára könnyen érthetők legyenek.</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Az adatcsere feltételeit ajánlott pontosan meghatározott sablonokon vagy szabványokon alapuló adatlicencek vagy adatmegosztási megállapodások útján kifejezni.</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A feltételeknek ajánlott összhangban lenniük az adat-ökoszisztéma átfogó irányítási modelljével, és tilos azzal ellentétesnek lenniük. (Megjegyzés: Az adatszolgáltató dönthet úgy, hogy nem vesz részt egy adat-ökoszisztémában, ha az alapul szolgáló irányítási modell túl korlátozó vagy túl megengedő.)</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Az adatmegosztási feltételeknek való megfelelés ellenőrizhető</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Az adat-ökoszisztéma koordinátorának képesnek kell lennie meggyőződni arról, hogy a résztvevők megfelelnek az alapul szolgáló irányítási modellnek.</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Az adatszolgáltatóknak ajánlott képesnek lenniük meggyőződni arról, hogy az adatfelhasználó általi adathasználat megfelel a korábban elfogadott feltételeknek.</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Az adatfelhasználóknak ajánlott képesnek lenniük meggyőződni arról, hogy az adatszolgáltató általi adatbiztosítás követi a korábban elfogadott feltételeket.</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A rendelkezésre álló adateszközök felfedezhetők</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Az adatfelhasználóknak ajánlott képesnek lenniük előzetes ismeretek nélkül felfedezni, hogy milyen adatok állnak rendelkezésre egy adatmegosztási ökoszisztémában.</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Az adateszközöket ajánlott megfelelően leírni metaadatokkal, hogy az adatfelhasználók megbízható döntéseket hozhassanak azok további tervezett felhasználásáról.</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Az adateszközök leírására használt metaadatoknak ajánlott jól meghatározott, könnyen érthető leíró formátumokon alapulniuk, amelyek ember és gép számára egyaránt olvashatók.</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Az ökoszisztéma résztvevői felfedezhetők</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Az ökoszisztéma résztvevőinek (pl. adatfelhasználóknak és -szolgáltatóknak) ajánlott képesnek lenniük felfedezni egymást az adatmegosztási ökoszisztémán belül.</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Elegendő metaadatnak ajánlott rendelkezésre állnia az egyes ökoszisztéma-résztvevőkről az adatcsere szempontjából releváns megbízhatóságuk megállapításához.</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Az adatszolgáltatóknak ajánlott képesnek lenniük megbízhatóan azonosítani azokat az adatfelhasználókat, akik hozzá kívánnak férni az adateszközeikhez, és ellenőrizni a metaadataikat a hozzáférés megadása előtt.</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Az adatfelhasználóknak ajánlott képesnek lenniük azonosítani az adatokat megosztó adatszolgáltatókat egy adat-ökoszisztémában, mielőtt hozzáférnének az adatokhoz vagy felhasználnák azokat.</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Az ökoszisztéma résztvevői úgy is dönthetnek, hogy anonimak maradnak, ha az adatmegosztási ökoszisztéma irányítási modellje ezt lehetővé teszi. Ebben az esetben az RC5.1–RC5.4 pontok figyelmen kívül hagyhatók.</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Az adatcseréről megállapodás köthető</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Az adatfelhasználóknak és -szolgáltatóknak ajánlott képesnek lenniük megállapodni egy adatcseréről és a hozzá kapcsolódó feltételekről (pl. a feltételek elfogadása, a megállapodás jogi aláírása vagy tárgyalás útján).</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Az adatfelhasználóknak és -szolgáltatóknak ajánlott képesnek lenniük a korábban elfogadott adatcsere megszüntetésére a hozzá kapcsolódó feltételeknek megfelelően.</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Ahol lehetséges, elektronikus eszközök biztosíthatók az adatcsere jóváhagyásához és megszüntetéséhez.</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Jelenleg nem elérhető új adatok igényelhetők</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Az adatfelhasználóknak ajánlott képesnek lenniük kifejezni érdeklődésüket olyan adateszközök iránt, amelyek jelenleg nem érhetők el az adatmegosztási ökoszisztémában.</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Az adatszolgáltatóknak ajánlott képesnek lenniük fogadni az adatfelhasználók által új adateszközökre benyújtott kéréseket.</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A teljes specifikáció: </w:t>
      </w:r>
      <w:hyperlink r:id="rId16">
        <w:r>
          <w:rPr>
            <w:color w:val="2F3F9E"/>
            <w:u w:val="single"/>
            <w:sz w:val="18"/>
          </w:rPr>
          <w:t>https://mims.oascities.org/exchanging-data</w:t>
        </w:r>
      </w:hyperlink>
    </w:p>
    <w:p>
      <w:r>
        <w:br w:type="page"/>
      </w:r>
    </w:p>
    <w:p>
      <w:pPr>
        <w:spacing w:before="120" w:after="40"/>
      </w:pPr>
      <w:r>
        <w:rPr>
          <w:b/>
          <w:i w:val="0"/>
          <w:color w:val="2F3F9E"/>
          <w:sz w:val="36"/>
        </w:rPr>
        <w:t>MIM6 · Biztonságban vannak az adataink?</w:t>
      </w:r>
    </w:p>
    <w:p>
      <w:pPr>
        <w:spacing w:before="40" w:after="40"/>
      </w:pPr>
      <w:r>
        <w:rPr>
          <w:b w:val="0"/>
          <w:i w:val="0"/>
          <w:color w:val="646B82"/>
          <w:sz w:val="20"/>
        </w:rPr>
        <w:t xml:space="preserve">Adatbiztonság   </w:t>
      </w:r>
      <w:hyperlink r:id="rId17">
        <w:r>
          <w:rPr>
            <w:color w:val="2F3F9E"/>
            <w:u w:val="single"/>
            <w:sz w:val="17.0"/>
          </w:rPr>
          <w:t>mims.oascities.org/securing-data</w:t>
        </w:r>
      </w:hyperlink>
    </w:p>
    <w:p>
      <w:pPr>
        <w:spacing w:before="120" w:after="200"/>
      </w:pPr>
      <w:r>
        <w:rPr>
          <w:b w:val="0"/>
          <w:i w:val="0"/>
          <w:sz w:val="20"/>
        </w:rPr>
        <w:t>Az okosvárosok kiemelt célpontok. A MIM6 a fókuszt szándékosan szűken és gyakorlatiasan tartja: titkosított adatmozgás, szabványos bejelentkezések a saját fejlesztésűek helyett, valamint annak ellenőrzése és naplózása, hogy ki mihez fér hozzá. Egyik sem kirívó elvárás — és mindegyiknek szerepelnie kell a szerződésben.</w:t>
      </w:r>
    </w:p>
    <w:p>
      <w:pPr>
        <w:spacing w:before="40" w:after="20"/>
      </w:pPr>
      <w:r>
        <w:rPr>
          <w:b/>
          <w:i w:val="0"/>
          <w:color w:val="2F3F9E"/>
          <w:sz w:val="22"/>
        </w:rPr>
        <w:t xml:space="preserve">☐  </w:t>
      </w:r>
      <w:r>
        <w:rPr>
          <w:b/>
          <w:i w:val="0"/>
          <w:color w:val="2F3F9E"/>
          <w:sz w:val="20"/>
        </w:rPr>
        <w:t xml:space="preserve">6.1  </w:t>
      </w:r>
      <w:r>
        <w:rPr>
          <w:b/>
          <w:i w:val="0"/>
          <w:sz w:val="20"/>
        </w:rPr>
        <w:t>Minden adatátvitel titkosított (TLS 1.3 vagy az aktuális legjobb gyakorlat szerint).</w:t>
      </w:r>
    </w:p>
    <w:p>
      <w:pPr>
        <w:spacing w:before="40" w:after="140"/>
      </w:pPr>
      <w:r>
        <w:rPr>
          <w:b w:val="0"/>
          <w:i/>
          <w:color w:val="646B82"/>
          <w:sz w:val="18"/>
        </w:rPr>
        <w:t xml:space="preserve">Alapvető digitális higiénia; a NIS 2 is megköveteli ott, ahol alkalmazandó.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A felhasználói bejelentkezés és a gépi hozzáférés nyílt szabványokat — OAuth 2.0 / OpenID Connect — alkalmaz, és képes illeszkedni a város meglévő identitásszolgáltatójához.</w:t>
      </w:r>
    </w:p>
    <w:p>
      <w:pPr>
        <w:spacing w:before="40" w:after="140"/>
      </w:pPr>
      <w:r>
        <w:rPr>
          <w:b w:val="0"/>
          <w:i/>
          <w:color w:val="646B82"/>
          <w:sz w:val="18"/>
        </w:rPr>
        <w:t xml:space="preserve">Munkavállalónként egyetlen fiók szükséges, nem szállítói termékenként külön-külön; a távozók hozzáférése mindenhol egyszerre szűnik meg.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A hozzáférési jogosultságok szerepkör-alapúak, felülvizsgálhatók és visszavonhatók; a hozzáféréseket és adminisztrátori műveleteket naplózzák.</w:t>
      </w:r>
    </w:p>
    <w:p>
      <w:pPr>
        <w:spacing w:before="40" w:after="140"/>
      </w:pPr>
      <w:r>
        <w:rPr>
          <w:b w:val="0"/>
          <w:i/>
          <w:color w:val="646B82"/>
          <w:sz w:val="18"/>
        </w:rPr>
        <w:t xml:space="preserve">Az auditálás és az incidenskezelés lehetővé válik. A naplózás megfelel az ISO/IEC 27001:2022 A. mellékletének 8.15. kontrolljának, amelyet a MIM6 előfeltételként jelöl meg.   </w:t>
      </w:r>
      <w:r>
        <w:rPr>
          <w:b w:val="0"/>
          <w:i w:val="0"/>
          <w:color w:val="0B7485"/>
          <w:sz w:val="16"/>
        </w:rPr>
        <w:t>→ MIM6 R1.1, R1.3, 8.15</w:t>
      </w:r>
    </w:p>
    <w:p>
      <w:pPr>
        <w:spacing w:before="40" w:after="0"/>
      </w:pPr>
      <w:r>
        <w:rPr>
          <w:b/>
          <w:i w:val="0"/>
          <w:color w:val="0B7485"/>
          <w:sz w:val="16"/>
        </w:rPr>
        <w:t>A RÉSZVÉTELI FELTÉTELEK KÖZÉ TARTOZIK, NEM A MŰSZAKI LEÍRÁSBA</w:t>
      </w:r>
    </w:p>
    <w:p>
      <w:pPr>
        <w:spacing w:before="40" w:after="20"/>
      </w:pPr>
      <w:r>
        <w:rPr>
          <w:b/>
          <w:i w:val="0"/>
          <w:color w:val="2F3F9E"/>
          <w:sz w:val="22"/>
        </w:rPr>
        <w:t xml:space="preserve">☐  </w:t>
      </w:r>
      <w:r>
        <w:rPr>
          <w:b/>
          <w:i w:val="0"/>
          <w:color w:val="2F3F9E"/>
          <w:sz w:val="20"/>
        </w:rPr>
        <w:t xml:space="preserve">6.4  </w:t>
      </w:r>
      <w:r>
        <w:rPr>
          <w:b/>
          <w:i w:val="0"/>
          <w:sz w:val="20"/>
        </w:rPr>
        <w:t>Az ajánlattevő igazolja az általa üzemeltetett szolgáltatás ISO/IEC 27001:2022 szabványnak (vagy azzal egyenértékűnek) való megfelelését.</w:t>
      </w:r>
    </w:p>
    <w:p>
      <w:pPr>
        <w:spacing w:before="40" w:after="140"/>
      </w:pPr>
      <w:r>
        <w:rPr>
          <w:b w:val="0"/>
          <w:i/>
          <w:color w:val="646B82"/>
          <w:sz w:val="18"/>
        </w:rPr>
        <w:t xml:space="preserve">A biztonság folyamat, nem pedig egy átadáskori pipa. A specifikáció az ISO/IEC 27001 kontrolljait idézi, nem tanúsítványt ír elő.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MIÉRT FONTOS</w:t>
            </w:r>
          </w:p>
          <w:p>
            <w:pPr>
              <w:spacing w:before="20" w:after="60"/>
            </w:pPr>
            <w:r>
              <w:rPr>
                <w:b/>
                <w:i w:val="0"/>
                <w:color w:val="2F3F9E"/>
                <w:sz w:val="18"/>
              </w:rPr>
              <w:t xml:space="preserve">•  </w:t>
            </w:r>
            <w:r>
              <w:rPr>
                <w:b w:val="0"/>
                <w:i w:val="0"/>
                <w:sz w:val="18"/>
              </w:rPr>
              <w:t>Egy rendszer feltörése nem nyitja meg az összes többit.</w:t>
            </w:r>
          </w:p>
          <w:p>
            <w:pPr>
              <w:spacing w:before="20" w:after="60"/>
            </w:pPr>
            <w:r>
              <w:rPr>
                <w:b/>
                <w:i w:val="0"/>
                <w:color w:val="2F3F9E"/>
                <w:sz w:val="18"/>
              </w:rPr>
              <w:t xml:space="preserve">•  </w:t>
            </w:r>
            <w:r>
              <w:rPr>
                <w:b w:val="0"/>
                <w:i w:val="0"/>
                <w:sz w:val="18"/>
              </w:rPr>
              <w:t>Ahol a NIS 2 alkalmazandó, a jogszabályoknak és a nemzeti kiberbiztonsági szabályoknak való megfelelés mérhetően egyszerűbbé válik.</w:t>
            </w:r>
          </w:p>
          <w:p>
            <w:pPr>
              <w:spacing w:before="20" w:after="60"/>
            </w:pPr>
            <w:r>
              <w:rPr>
                <w:b/>
                <w:i w:val="0"/>
                <w:color w:val="2F3F9E"/>
                <w:sz w:val="18"/>
              </w:rPr>
              <w:t xml:space="preserve">•  </w:t>
            </w:r>
            <w:r>
              <w:rPr>
                <w:b w:val="0"/>
                <w:i w:val="0"/>
                <w:sz w:val="18"/>
              </w:rPr>
              <w:t>Egy incidenst követően a naplók megmutatják, mi történt és ki járt el.</w:t>
            </w:r>
          </w:p>
        </w:tc>
        <w:tc>
          <w:tcPr>
            <w:tcW w:type="dxa" w:w="4986"/>
            <w:shd w:val="clear" w:fill="FBEEEE"/>
          </w:tcPr>
          <w:p>
            <w:pPr>
              <w:spacing w:before="20" w:after="60"/>
            </w:pPr>
            <w:r>
              <w:rPr>
                <w:b/>
                <w:i w:val="0"/>
                <w:color w:val="A02020"/>
                <w:sz w:val="18"/>
              </w:rPr>
              <w:t>FIGYELMEZTETŐ JELEK</w:t>
            </w:r>
          </w:p>
          <w:p>
            <w:pPr>
              <w:spacing w:before="20" w:after="60"/>
            </w:pPr>
            <w:r>
              <w:rPr>
                <w:b/>
                <w:i w:val="0"/>
                <w:color w:val="A02020"/>
                <w:sz w:val="18"/>
              </w:rPr>
              <w:t xml:space="preserve">•  </w:t>
            </w:r>
            <w:r>
              <w:rPr>
                <w:b w:val="0"/>
                <w:i w:val="0"/>
                <w:sz w:val="18"/>
              </w:rPr>
              <w:t>Kizárólag zárt, védett bejelentkezés.</w:t>
            </w:r>
          </w:p>
          <w:p>
            <w:pPr>
              <w:spacing w:before="20" w:after="60"/>
            </w:pPr>
            <w:r>
              <w:rPr>
                <w:b/>
                <w:i w:val="0"/>
                <w:color w:val="A02020"/>
                <w:sz w:val="18"/>
              </w:rPr>
              <w:t xml:space="preserve">•  </w:t>
            </w:r>
            <w:r>
              <w:rPr>
                <w:b w:val="0"/>
                <w:i w:val="0"/>
                <w:sz w:val="18"/>
              </w:rPr>
              <w:t>„Naplófájlok külön kérésre igényelhetők.”</w:t>
            </w:r>
          </w:p>
          <w:p>
            <w:pPr>
              <w:spacing w:before="20" w:after="60"/>
            </w:pPr>
            <w:r>
              <w:rPr>
                <w:b/>
                <w:i w:val="0"/>
                <w:color w:val="A02020"/>
                <w:sz w:val="18"/>
              </w:rPr>
              <w:t xml:space="preserve">•  </w:t>
            </w:r>
            <w:r>
              <w:rPr>
                <w:b w:val="0"/>
                <w:i w:val="0"/>
                <w:sz w:val="18"/>
              </w:rPr>
              <w:t>Közös adminisztrátori fiókok.</w:t>
            </w:r>
          </w:p>
        </w:tc>
      </w:tr>
    </w:tbl>
    <w:p>
      <w:pPr>
        <w:spacing w:before="280" w:after="40"/>
      </w:pPr>
      <w:r>
        <w:rPr>
          <w:b/>
          <w:i w:val="0"/>
          <w:color w:val="2F3F9E"/>
          <w:sz w:val="26"/>
        </w:rPr>
        <w:t>Mit ír elő a specifikáció</w:t>
      </w:r>
    </w:p>
    <w:p>
      <w:pPr>
        <w:spacing w:before="40" w:after="120"/>
      </w:pPr>
      <w:r>
        <w:rPr>
          <w:b w:val="0"/>
          <w:i w:val="0"/>
          <w:color w:val="646B82"/>
          <w:sz w:val="18"/>
        </w:rPr>
        <w:t>A jelen MIM valamennyi követelménye, szó szerint a MIMs Plus 9.0-ból: A specifikáció kizárólag angol nyelven létezik: a magyar szöveg a jelen füzet szerzőjének nem hivatalos fordítása; az alatta lévő angol eredeti az irányadó.</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Az adatokhoz csak olyan felhasználók férhetnek hozzá, akiknek hozzáféréssel kell rendelkezniük</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Az információkhoz és más kapcsolódó eszközökhöz való fizikai és logikai hozzáférés szabályozására vonatkozó szabályokat az üzleti és információbiztonsági követelmények alapján KÖTELEZŐ meghatározni és végrehajtani. (ISO 27001 5.15 Hozzáférés-szabályozás)</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A hitelesítési információk kiosztását és kezelését egy irányítási folyamatnak KÖTELEZŐ szabályoznia, beleértve a személyzet tájékoztatását a hitelesítési információk megfelelő kezeléséről. (ISO 27001 5.17: Hitelesítési információk)</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Az információkhoz és más kapcsolódó eszközökhöz való hozzáférési jogokat a szervezet témaspecifikus hozzáférés-szabályozási szabályzatával és szabályaival összhangban KÖTELEZŐ kiosztani, felülvizsgálni, módosítani és megszüntetni. (ISO 27001 5.18: Hozzáférési jogok)</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 felhasználók által elért adatokat nem módosították</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A kriptográfia hatékony alkalmazására vonatkozó szabályokat, beleértve a kriptográfiai kulcskezelést, KÖTELEZŐ meghatározni és végrehajtani. (ISO 27001 8.24 Kriptográfia alkalmazása)</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 felhasználók által elért adatok ellenőrzött forrásból származnak</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Biztonságos hitelesítési technológiákat és eljárásokat kell bevezetni az információ-hozzáférési korlátozások és a témaspecifikus hozzáférés-szabályozási politika alapján. (ISO 27001 8.5 Biztonságos hitelesítés)</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Jelölt mechanizmus</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A Transport Layer Security (TLS) protokoll, 1.3 verzió</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Az OAuth 2.0 engedélyezési keretrendszer</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identitásréteg az OAuth 2.0 feletti hitelesítéshez</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igazolható hitelesítő adatok kibocsátásához és bemutatásához</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Elő- és utókövetelmények (az ISO 27001 A. melléklete alapján): a füzet által hivatkozott kontroll</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Naplózás. A tevékenységeket, kivételeket, hibákat és egyéb releváns eseményeket rögzítő naplókat elő kell állítani, tárolni, védeni és elemezni kell.</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A teljes specifikáció: </w:t>
      </w:r>
      <w:hyperlink r:id="rId17">
        <w:r>
          <w:rPr>
            <w:color w:val="2F3F9E"/>
            <w:u w:val="single"/>
            <w:sz w:val="18"/>
          </w:rPr>
          <w:t>https://mims.oascities.org/securing-data</w:t>
        </w:r>
      </w:hyperlink>
    </w:p>
    <w:p>
      <w:r>
        <w:br w:type="page"/>
      </w:r>
    </w:p>
    <w:p>
      <w:pPr>
        <w:spacing w:before="120" w:after="40"/>
      </w:pPr>
      <w:r>
        <w:rPr>
          <w:b/>
          <w:i w:val="0"/>
          <w:color w:val="2F3F9E"/>
          <w:sz w:val="36"/>
        </w:rPr>
        <w:t>MIM7 · Működik térképen?</w:t>
      </w:r>
    </w:p>
    <w:p>
      <w:pPr>
        <w:spacing w:before="40" w:after="40"/>
      </w:pPr>
      <w:r>
        <w:rPr>
          <w:b w:val="0"/>
          <w:i w:val="0"/>
          <w:color w:val="646B82"/>
          <w:sz w:val="20"/>
        </w:rPr>
        <w:t xml:space="preserve">Térinformatikai adatok   </w:t>
      </w:r>
      <w:hyperlink r:id="rId18">
        <w:r>
          <w:rPr>
            <w:color w:val="2F3F9E"/>
            <w:u w:val="single"/>
            <w:sz w:val="17.0"/>
          </w:rPr>
          <w:t>mims.oascities.org/geospatial-data</w:t>
        </w:r>
      </w:hyperlink>
    </w:p>
    <w:p>
      <w:pPr>
        <w:spacing w:before="120" w:after="200"/>
      </w:pPr>
      <w:r>
        <w:rPr>
          <w:b w:val="0"/>
          <w:i w:val="0"/>
          <w:sz w:val="20"/>
        </w:rPr>
        <w:t>Egy városban szinte mindennek van fizikai helye. A MIM7 biztosítja, hogy a térbeli hely ne csak egy képernyőkép legyen: a téradatok szabványos OGC interfészeken, nyílt formátumokban mozognak, a koordináta-rendszer megjelölésével — így minden újonnan beszerzett térképréteg pontosan illeszkedik a meglévő rétegekhez.</w:t>
      </w:r>
    </w:p>
    <w:p>
      <w:pPr>
        <w:spacing w:before="40" w:after="20"/>
      </w:pPr>
      <w:r>
        <w:rPr>
          <w:b/>
          <w:i w:val="0"/>
          <w:color w:val="2F3F9E"/>
          <w:sz w:val="22"/>
        </w:rPr>
        <w:t xml:space="preserve">☐  </w:t>
      </w:r>
      <w:r>
        <w:rPr>
          <w:b/>
          <w:i w:val="0"/>
          <w:color w:val="2F3F9E"/>
          <w:sz w:val="20"/>
        </w:rPr>
        <w:t xml:space="preserve">7.1  </w:t>
      </w:r>
      <w:r>
        <w:rPr>
          <w:b/>
          <w:i w:val="0"/>
          <w:sz w:val="20"/>
        </w:rPr>
        <w:t>A térinformatikai adatok szabványos interfészeken (OGC API Features, SensorThings; régebbi rendszereknél WFS is elfogadható) keresztül érhetők el.</w:t>
      </w:r>
    </w:p>
    <w:p>
      <w:pPr>
        <w:spacing w:before="40" w:after="140"/>
      </w:pPr>
      <w:r>
        <w:rPr>
          <w:b w:val="0"/>
          <w:i/>
          <w:color w:val="646B82"/>
          <w:sz w:val="18"/>
        </w:rPr>
        <w:t xml:space="preserve">A piacon lévő valamennyi térinformatikai (GIS) szoftver azonnal képes beolvasni őket.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A téradatok kódolása nyílt formátumokban történik (GeoJSON, CityJSON; szükség esetén GML/CityGML).</w:t>
      </w:r>
    </w:p>
    <w:p>
      <w:pPr>
        <w:spacing w:before="40" w:after="140"/>
      </w:pPr>
      <w:r>
        <w:rPr>
          <w:b w:val="0"/>
          <w:i/>
          <w:color w:val="646B82"/>
          <w:sz w:val="18"/>
        </w:rPr>
        <w:t xml:space="preserve">Nincsenek konverterlicencek, nincsenek zsákutcák.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A koordináta-rendszer (CRS) minden esetben fel van tüntetve (EPSG-kód), és az adatok átalakíthatók közös koordináta-rendszerbe.</w:t>
      </w:r>
    </w:p>
    <w:p>
      <w:pPr>
        <w:spacing w:before="40" w:after="140"/>
      </w:pPr>
      <w:r>
        <w:rPr>
          <w:b w:val="0"/>
          <w:i/>
          <w:color w:val="646B82"/>
          <w:sz w:val="18"/>
        </w:rPr>
        <w:t xml:space="preserve">A különböző forrásokból származó rétegek pontosan fedik egymást a térképen.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A térbeli objektumok ugyanazokat az állandó azonosítókat hordozzák, mint a MIM1-ben.</w:t>
      </w:r>
    </w:p>
    <w:p>
      <w:pPr>
        <w:spacing w:before="40" w:after="140"/>
      </w:pPr>
      <w:r>
        <w:rPr>
          <w:b w:val="0"/>
          <w:i/>
          <w:color w:val="646B82"/>
          <w:sz w:val="18"/>
        </w:rPr>
        <w:t xml:space="preserve">A térképen lévő pont és a nyilvántartásban szereplő tétel egy és ugyanaz a dolog.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MIÉRT FONTOS</w:t>
            </w:r>
          </w:p>
          <w:p>
            <w:pPr>
              <w:spacing w:before="20" w:after="60"/>
            </w:pPr>
            <w:r>
              <w:rPr>
                <w:b/>
                <w:i w:val="0"/>
                <w:color w:val="2F3F9E"/>
                <w:sz w:val="18"/>
              </w:rPr>
              <w:t xml:space="preserve">•  </w:t>
            </w:r>
            <w:r>
              <w:rPr>
                <w:b w:val="0"/>
                <w:i w:val="0"/>
                <w:sz w:val="18"/>
              </w:rPr>
              <w:t>Egyetlen városi térkép tíz különböző szállítói megjelenítő helyett.</w:t>
            </w:r>
          </w:p>
          <w:p>
            <w:pPr>
              <w:spacing w:before="20" w:after="60"/>
            </w:pPr>
            <w:r>
              <w:rPr>
                <w:b/>
                <w:i w:val="0"/>
                <w:color w:val="2F3F9E"/>
                <w:sz w:val="18"/>
              </w:rPr>
              <w:t xml:space="preserve">•  </w:t>
            </w:r>
            <w:r>
              <w:rPr>
                <w:b w:val="0"/>
                <w:i w:val="0"/>
                <w:sz w:val="18"/>
              </w:rPr>
              <w:t>Az INSPIRE és az országos geoportál kötelezettségek teljesítése egyszerűbbé, nem bonyolultabbá válik.</w:t>
            </w:r>
          </w:p>
          <w:p>
            <w:pPr>
              <w:spacing w:before="20" w:after="60"/>
            </w:pPr>
            <w:r>
              <w:rPr>
                <w:b/>
                <w:i w:val="0"/>
                <w:color w:val="2F3F9E"/>
                <w:sz w:val="18"/>
              </w:rPr>
              <w:t xml:space="preserve">•  </w:t>
            </w:r>
            <w:r>
              <w:rPr>
                <w:b w:val="0"/>
                <w:i w:val="0"/>
                <w:sz w:val="18"/>
              </w:rPr>
              <w:t>A 3D és BIM adatok később ugyanabba a képbe illeszthetők.</w:t>
            </w:r>
          </w:p>
        </w:tc>
        <w:tc>
          <w:tcPr>
            <w:tcW w:type="dxa" w:w="4986"/>
            <w:shd w:val="clear" w:fill="FBEEEE"/>
          </w:tcPr>
          <w:p>
            <w:pPr>
              <w:spacing w:before="20" w:after="60"/>
            </w:pPr>
            <w:r>
              <w:rPr>
                <w:b/>
                <w:i w:val="0"/>
                <w:color w:val="A02020"/>
                <w:sz w:val="18"/>
              </w:rPr>
              <w:t>FIGYELMEZTETŐ JELEK</w:t>
            </w:r>
          </w:p>
          <w:p>
            <w:pPr>
              <w:spacing w:before="20" w:after="60"/>
            </w:pPr>
            <w:r>
              <w:rPr>
                <w:b/>
                <w:i w:val="0"/>
                <w:color w:val="A02020"/>
                <w:sz w:val="18"/>
              </w:rPr>
              <w:t xml:space="preserve">•  </w:t>
            </w:r>
            <w:r>
              <w:rPr>
                <w:b w:val="0"/>
                <w:i w:val="0"/>
                <w:sz w:val="18"/>
              </w:rPr>
              <w:t>A térképadatok kizárólag a szállító saját megjelenítőjében léteznek.</w:t>
            </w:r>
          </w:p>
          <w:p>
            <w:pPr>
              <w:spacing w:before="20" w:after="60"/>
            </w:pPr>
            <w:r>
              <w:rPr>
                <w:b/>
                <w:i w:val="0"/>
                <w:color w:val="A02020"/>
                <w:sz w:val="18"/>
              </w:rPr>
              <w:t xml:space="preserve">•  </w:t>
            </w:r>
            <w:r>
              <w:rPr>
                <w:b w:val="0"/>
                <w:i w:val="0"/>
                <w:sz w:val="18"/>
              </w:rPr>
              <w:t>„Exportálás PDF-ként vagy képernyőképként.”</w:t>
            </w:r>
          </w:p>
        </w:tc>
      </w:tr>
    </w:tbl>
    <w:p>
      <w:pPr>
        <w:spacing w:before="280" w:after="40"/>
      </w:pPr>
      <w:r>
        <w:rPr>
          <w:b/>
          <w:i w:val="0"/>
          <w:color w:val="2F3F9E"/>
          <w:sz w:val="26"/>
        </w:rPr>
        <w:t>Mit ír elő a specifikáció</w:t>
      </w:r>
    </w:p>
    <w:p>
      <w:pPr>
        <w:spacing w:before="40" w:after="120"/>
      </w:pPr>
      <w:r>
        <w:rPr>
          <w:b w:val="0"/>
          <w:i w:val="0"/>
          <w:color w:val="646B82"/>
          <w:sz w:val="18"/>
        </w:rPr>
        <w:t>A jelen MIM valamennyi követelménye, szó szerint a MIMs Plus 9.0-ból: A specifikáció kizárólag angol nyelven létezik: a magyar szöveg a jelen füzet szerzőjének nem hivatalos fordítása; az alatta lévő angol eredeti az irányadó.</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 városok és közösségek könnyen továbbíthatnak térinformatikai adatokat a belső és külső (beleértve a dolgok internetéhez kapcsolódó) informatikai rendszerek között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A térinformatikai adatokat szabványokon alapuló webszolgáltatás-felületen keresztül kell közzétenni.</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 városok és közösségek integrálhatják a különböző forrásokból származó 2D és 3D térinformatikai adatokat – például a geoadatokat és az épületinformációs modelleket –, és ezeket az adatokat interoperábilis módon oszthatják meg egymáson belül és egymás között</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A térinformatikai adatokat nyílt szabványok alkalmazásával kell kódolni. Ajánlott az OGC és a BuildingSMART International releváns szabványait használni.</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 városok és közösségek integrálhatják a térinformatikai adatokat más adatokkal, amelyek további információkat nyújthatnak a kontextusról</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A téradatok által lefedett kontextusról további információkat nyújtó összes adatkészletnek meg kell felelnie a MIM1 és MIM2 előírásainak.</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A városok és közösségek következetes és állandó módon írják le a téradat-forrásokban szereplő összes térbeli elem, dolog vagy entitás egyedi előfordulásait</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Egyedi és állandó azonosítókat kell használni az adatkészletekben szereplő bármely entitás egyes előfordulásainak azonosítására. (Lásd MIM1: Adatok összekapcsolása.)</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Az adatmegosztás során használt koordináta-referenciarendszerek (CRS) könnyen átalakíthatók egy közös koordináta-rendszerre</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A koordináta-referenciarendszereknek (CRS) meg kell felelniük a szabványoknak, és információt kell szolgáltatni arról, hogy melyik szabvány (pl. EPSG:4326, EPSG:3857) van használatban. Ez magában foglalja az EPSG-számot vagy a WGS-számot, valamint a nemzeti rendszereken – mint például a lett LKS-92-n – alapuló eltérésekre vonatkozó információkat, hogy az adatok átalakíthatók legyenek közös koordináta-rendszerbe. (Megjegyzés: Az EU-n belül a téradatok esetében az INSPIRE irányelvnek megfelelő metaadatok használata kötelező, beleértve a koordináta-rendszerre vonatkozó információk leírásához szükséges metaadatokat is.)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A teljes specifikáció: </w:t>
      </w:r>
      <w:hyperlink r:id="rId18">
        <w:r>
          <w:rPr>
            <w:color w:val="2F3F9E"/>
            <w:u w:val="single"/>
            <w:sz w:val="18"/>
          </w:rPr>
          <w:t>https://mims.oascities.org/geospatial-data</w:t>
        </w:r>
      </w:hyperlink>
    </w:p>
    <w:p>
      <w:r>
        <w:br w:type="page"/>
      </w:r>
    </w:p>
    <w:p>
      <w:pPr>
        <w:spacing w:before="120" w:after="40"/>
      </w:pPr>
      <w:r>
        <w:rPr>
          <w:b/>
          <w:i w:val="0"/>
          <w:color w:val="2F3F9E"/>
          <w:sz w:val="36"/>
        </w:rPr>
        <w:t>MIM8 · Képes növekedni a digitális ikrünk?</w:t>
      </w:r>
    </w:p>
    <w:p>
      <w:pPr>
        <w:spacing w:before="40" w:after="40"/>
      </w:pPr>
      <w:r>
        <w:rPr>
          <w:b w:val="0"/>
          <w:i w:val="0"/>
          <w:color w:val="646B82"/>
          <w:sz w:val="20"/>
        </w:rPr>
        <w:t xml:space="preserve">Helyi digitális ikrek   </w:t>
      </w:r>
      <w:hyperlink r:id="rId19">
        <w:r>
          <w:rPr>
            <w:color w:val="2F3F9E"/>
            <w:u w:val="single"/>
            <w:sz w:val="17.0"/>
          </w:rPr>
          <w:t>mims.oascities.org/local-digital-twins</w:t>
        </w:r>
      </w:hyperlink>
    </w:p>
    <w:p>
      <w:pPr>
        <w:spacing w:before="120" w:after="200"/>
      </w:pPr>
      <w:r>
        <w:rPr>
          <w:b w:val="0"/>
          <w:i w:val="0"/>
          <w:sz w:val="20"/>
        </w:rPr>
        <w:t>A digitális iker hosszú távú beruházás: adatok, 3D modellek, szimulációk, döntések. A MIM8 ezt a befektetést védi — a digitális iker adatai és modelljei hozzáférhetők és dokumentáltak maradnak, az eredmények megismételhetők, és az egyik projekt komponensei felhasználhatók a következőben. Alkalmazza ezt az oldalt digitális iker platformok, szimulációs modellek vagy 3D városi eszközök beszerzésekor.</w:t>
      </w:r>
    </w:p>
    <w:p>
      <w:pPr>
        <w:spacing w:before="40" w:after="20"/>
      </w:pPr>
      <w:r>
        <w:rPr>
          <w:b/>
          <w:i w:val="0"/>
          <w:color w:val="2F3F9E"/>
          <w:sz w:val="22"/>
        </w:rPr>
        <w:t xml:space="preserve">☐  </w:t>
      </w:r>
      <w:r>
        <w:rPr>
          <w:b/>
          <w:i w:val="0"/>
          <w:color w:val="2F3F9E"/>
          <w:sz w:val="20"/>
        </w:rPr>
        <w:t xml:space="preserve">8.1  </w:t>
      </w:r>
      <w:r>
        <w:rPr>
          <w:b/>
          <w:i w:val="0"/>
          <w:sz w:val="20"/>
        </w:rPr>
        <w:t>Az adatkészletek, modellbemenetek és szimulációs kimenetek API-kon keresztül elérhetők (a MIM0 szerint), nincsenek bezárva a digitális ikerbe.</w:t>
      </w:r>
    </w:p>
    <w:p>
      <w:pPr>
        <w:spacing w:before="40" w:after="140"/>
      </w:pPr>
      <w:r>
        <w:rPr>
          <w:b w:val="0"/>
          <w:i/>
          <w:color w:val="646B82"/>
          <w:sz w:val="18"/>
        </w:rPr>
        <w:t xml:space="preserve">Az eredmények jelentéseket, műszerfalakat és a következő projektet táplálják.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A modellek dokumentáltak (módszertan, paraméterek, bemenetek/kimenetek) és dokumentált interfészen keresztül meghívhatók.</w:t>
      </w:r>
    </w:p>
    <w:p>
      <w:pPr>
        <w:spacing w:before="40" w:after="140"/>
      </w:pPr>
      <w:r>
        <w:rPr>
          <w:b w:val="0"/>
          <w:i/>
          <w:color w:val="646B82"/>
          <w:sz w:val="18"/>
        </w:rPr>
        <w:t xml:space="preserve">Egy egyszer megvásárolt árvízmodell újrahasznosítható a különböző főosztályokon — és akár más városok által is.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A kimenetek szabványos formátumokat használnak (GeoJSON, CityJSON, 3D Tiles, NetCDF…), amelyeket harmadik féltől származó eszközök is képesek beolvasni.</w:t>
      </w:r>
    </w:p>
    <w:p>
      <w:pPr>
        <w:spacing w:before="40" w:after="140"/>
      </w:pPr>
      <w:r>
        <w:rPr>
          <w:b w:val="0"/>
          <w:i/>
          <w:color w:val="646B82"/>
          <w:sz w:val="18"/>
        </w:rPr>
        <w:t xml:space="preserve">A vizualizációs és elemzési megoldások piaca nyílt és versenyképes marad.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A munkafolyamatok rögzítik az adateredetet: melyik adatverzió, melyik modell és milyen paraméterek hozták létre az eredményt.</w:t>
      </w:r>
    </w:p>
    <w:p>
      <w:pPr>
        <w:spacing w:before="40" w:after="140"/>
      </w:pPr>
      <w:r>
        <w:rPr>
          <w:b w:val="0"/>
          <w:i/>
          <w:color w:val="646B82"/>
          <w:sz w:val="18"/>
        </w:rPr>
        <w:t xml:space="preserve">A digitális ikerpárra alapozott önkormányzati döntések később indokolhatók és megvédhetők.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MIÉRT FONTOS</w:t>
            </w:r>
          </w:p>
          <w:p>
            <w:pPr>
              <w:spacing w:before="20" w:after="60"/>
            </w:pPr>
            <w:r>
              <w:rPr>
                <w:b/>
                <w:i w:val="0"/>
                <w:color w:val="2F3F9E"/>
                <w:sz w:val="18"/>
              </w:rPr>
              <w:t xml:space="preserve">•  </w:t>
            </w:r>
            <w:r>
              <w:rPr>
                <w:b w:val="0"/>
                <w:i w:val="0"/>
                <w:sz w:val="18"/>
              </w:rPr>
              <w:t>A digitális iker túlél bármely szállítót vagy konkrét projektköltségvetést.</w:t>
            </w:r>
          </w:p>
          <w:p>
            <w:pPr>
              <w:spacing w:before="20" w:after="60"/>
            </w:pPr>
            <w:r>
              <w:rPr>
                <w:b/>
                <w:i w:val="0"/>
                <w:color w:val="2F3F9E"/>
                <w:sz w:val="18"/>
              </w:rPr>
              <w:t xml:space="preserve">•  </w:t>
            </w:r>
            <w:r>
              <w:rPr>
                <w:b w:val="0"/>
                <w:i w:val="0"/>
                <w:sz w:val="18"/>
              </w:rPr>
              <w:t>A szimulációk ellenőrizhetők, megismételhetők és megalapozottá teszik a döntéshozatalt.</w:t>
            </w:r>
          </w:p>
          <w:p>
            <w:pPr>
              <w:spacing w:before="20" w:after="60"/>
            </w:pPr>
            <w:r>
              <w:rPr>
                <w:b/>
                <w:i w:val="0"/>
                <w:color w:val="2F3F9E"/>
                <w:sz w:val="18"/>
              </w:rPr>
              <w:t xml:space="preserve">•  </w:t>
            </w:r>
            <w:r>
              <w:rPr>
                <w:b w:val="0"/>
                <w:i w:val="0"/>
                <w:sz w:val="18"/>
              </w:rPr>
              <w:t>A modellek és komponensek megoszthatók a városok között.</w:t>
            </w:r>
          </w:p>
        </w:tc>
        <w:tc>
          <w:tcPr>
            <w:tcW w:type="dxa" w:w="4986"/>
            <w:shd w:val="clear" w:fill="FBEEEE"/>
          </w:tcPr>
          <w:p>
            <w:pPr>
              <w:spacing w:before="20" w:after="60"/>
            </w:pPr>
            <w:r>
              <w:rPr>
                <w:b/>
                <w:i w:val="0"/>
                <w:color w:val="A02020"/>
                <w:sz w:val="18"/>
              </w:rPr>
              <w:t>FIGYELMEZTETŐ JELEK</w:t>
            </w:r>
          </w:p>
          <w:p>
            <w:pPr>
              <w:spacing w:before="20" w:after="60"/>
            </w:pPr>
            <w:r>
              <w:rPr>
                <w:b/>
                <w:i w:val="0"/>
                <w:color w:val="A02020"/>
                <w:sz w:val="18"/>
              </w:rPr>
              <w:t xml:space="preserve">•  </w:t>
            </w:r>
            <w:r>
              <w:rPr>
                <w:b w:val="0"/>
                <w:i w:val="0"/>
                <w:sz w:val="18"/>
              </w:rPr>
              <w:t>A szimulációs eredmények kizárólag a szállító portálján tekinthetők meg.</w:t>
            </w:r>
          </w:p>
          <w:p>
            <w:pPr>
              <w:spacing w:before="20" w:after="60"/>
            </w:pPr>
            <w:r>
              <w:rPr>
                <w:b/>
                <w:i w:val="0"/>
                <w:color w:val="A02020"/>
                <w:sz w:val="18"/>
              </w:rPr>
              <w:t xml:space="preserve">•  </w:t>
            </w:r>
            <w:r>
              <w:rPr>
                <w:b w:val="0"/>
                <w:i w:val="0"/>
                <w:sz w:val="18"/>
              </w:rPr>
              <w:t>Zárt „fekete dobozként” működő modellek metaadatok nélkül.</w:t>
            </w:r>
          </w:p>
        </w:tc>
      </w:tr>
    </w:tbl>
    <w:p>
      <w:pPr>
        <w:spacing w:before="280" w:after="40"/>
      </w:pPr>
      <w:r>
        <w:rPr>
          <w:b/>
          <w:i w:val="0"/>
          <w:color w:val="2F3F9E"/>
          <w:sz w:val="26"/>
        </w:rPr>
        <w:t>Mit ír elő a specifikáció</w:t>
      </w:r>
    </w:p>
    <w:p>
      <w:pPr>
        <w:spacing w:before="40" w:after="120"/>
      </w:pPr>
      <w:r>
        <w:rPr>
          <w:b w:val="0"/>
          <w:i w:val="0"/>
          <w:color w:val="646B82"/>
          <w:sz w:val="18"/>
        </w:rPr>
        <w:t>A jelen MIM valamennyi követelménye, szó szerint a MIMs Plus 9.0-ból: A specifikáció kizárólag angol nyelven létezik: a magyar szöveg a jelen füzet szerzőjének nem hivatalos fordítása; az alatta lévő angol eredeti az irányadó.</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Hozzáférés biztosítása az LDT-n belül használt adatkészletekhez, beleértve a statikus, valós idejű és szimulációs adatokat, valamint a számítási modelleket</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Az LDT-nek hozzáférést kell biztosítania a szimulációs kimenetekhez és a számítási modellek bemeneteihez, ahol ezekre az LDT munkafolyamatok részeként szükség van.</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Az LDT-nek ajánlott egyértelmű különbséget tennie a nyers forrásadatok, az átalakított munkafolyamat-kész adatok, a modellbemenetek és a modellkimenetek között.</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Adatcsere külső rendszerekkel és más LDT-kkel interoperábilis felületeken keresztül</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Ez a képesség a MIM3 (Adatcsere) mechanizmusra támaszkodik az adatcsere terén.</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Determinisztikus vagy MI-modellek újrafelhasználása különböző területeken, közösségekben, használati esetekben és/vagy LDT-kben</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A modellnek ajánlott szabványos modell-metaadatokat biztosítania, beleértve módszereinek, paramétereinek és adatparamétereinek leírását (érték vagy hivatkozás szerint). E célból közös metaadat-szabványokat ajánlott alkalmazni.</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A modellnek dokumentált felületet kell nyújtania, vagy azon keresztül meghívhatónak kell lennie, lehetőleg egy ismert, szabványosított API használatával. A modell eredményét képező adatkészletet (adatszinten) le kell írni.</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Az innovatív módszerek (LLM-ek, ágens-alapú MI stb.) megbízható, hiteles és etikus használatát ajánlott biztosítani. A torzítást ajánlott minimalizálni, ahol alkalmazható. Az ennek garantálására használt módszereket ajánlott leírni.</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A modellnek képesnek kell lennie az adatokhoz a végfelhasználó vagy szervezet nevében hozzáférni. Lásd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Az MI-modellekben felhasználandó adatok esetében az eredetet és a megbízhatóságot ajánlott garantálni. Bizonyos esetekben hiteles forrást, például kormányzati szervet kell feltüntetni.</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Adatok, modellek és feldolgozási munkafolyamatok koordinálása és kezelése az LDT-n belül (intra-LDT) és az LDT-k között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Az LDT támogatja az adatforrásokat, adattranszformációkat, modellfuttatásokat, szimulációs folyamatokat és kimeneteket összekapcsoló munkafolyamatokat.</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Az LDT láncba szervezi a munkafolyamat lépéseit, ahol az egyik lépés kimenete felhasználható egy másik lépés bemeneteként.</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Az LDT figyelemmel kíséri a munkafolyamatok végrehajtási állapotát, beleértve a befejezett, sikertelen és megszakított folyamatokat.</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Az LDT rögzíti a munkafolyamatok eredetét, beleértve a felhasznált adatkészleteket (beleértve a verziót, időbélyeggel ellátva), a futtatott modelleket, a kiválasztott paramétereket és a generált kimeneteket.</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Az adatok és eredmények többféle vizualizációjának (pl. 2D, 3D, műszerfalak) biztosítása a közös háttéradatokból és modellekből az interakció és az összehasonlítás érdekében</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Az LDT metaadatokat biztosít a vizualizált elemek magyarázatához, beleértve az időbélyeget, a térbeli hatókört, az adatforrást, valamint a forgatókönyv- és változatfeltételezéseket, ahol releváns.</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Az LDT különböző interaktív vizualizációs típusokat támogat, például 2D térképeket, 3D jeleneteket, műszerfalakat, jelentéseket vagy nyilvános nézeteket.</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Annak biztosítása, hogy az LDT-ken belüli és azok közötti adatcsere (és szimulációs kimenetek) következetesen értelmezhetők legyenek megosztott vagy leképezett szemantika és egyértelmű adateredet révén</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Az LDT-nek ajánlott dokumentálnia a feloldatlan szemantikai hiányosságokat, feltételezéseket vagy leképezéseket, amelyek befolyásolhatják az eredmények értelmezését, újrafelhasználását vagy összehasonlítását.</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Mechanizmusok (aktív fejlesztés alatt)</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API-alapú LDT erőforrás-hozzáférés</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Szabványosított adat- és kimeneti formátumok</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Modell mint szolgáltatás (MaaS)</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 munkafolyamat-vezérlés</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Többnézetű kimeneti és vizualizációs hozzáférés</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A teljes specifikáció: </w:t>
      </w:r>
      <w:hyperlink r:id="rId19">
        <w:r>
          <w:rPr>
            <w:color w:val="2F3F9E"/>
            <w:u w:val="single"/>
            <w:sz w:val="18"/>
          </w:rPr>
          <w:t>https://mims.oascities.org/local-digital-twins</w:t>
        </w:r>
      </w:hyperlink>
    </w:p>
    <w:p>
      <w:r>
        <w:br w:type="page"/>
      </w:r>
    </w:p>
    <w:p>
      <w:pPr>
        <w:spacing w:before="120" w:after="40"/>
      </w:pPr>
      <w:r>
        <w:rPr>
          <w:b/>
          <w:i w:val="0"/>
          <w:color w:val="2F3F9E"/>
          <w:sz w:val="36"/>
        </w:rPr>
        <w:t>Átfogó szerződéses feltételek</w:t>
      </w:r>
    </w:p>
    <w:p>
      <w:pPr>
        <w:spacing w:before="40" w:after="120"/>
      </w:pPr>
      <w:r>
        <w:rPr>
          <w:b/>
          <w:i w:val="0"/>
          <w:color w:val="0B7485"/>
          <w:sz w:val="22"/>
        </w:rPr>
        <w:t>Biztosítékok a szállítói függőség ellen</w:t>
      </w:r>
    </w:p>
    <w:p>
      <w:pPr>
        <w:spacing w:before="40" w:after="200"/>
      </w:pPr>
      <w:r>
        <w:rPr>
          <w:b w:val="0"/>
          <w:i w:val="0"/>
          <w:sz w:val="20"/>
        </w:rPr>
        <w:t>Ezek a kikötések minden eljárásba beletartoznak, függetlenül attól, hogy mit szerez be. A MIM-ek és a living-in.eu körüli közbeszerzési gyakorlatból származnak. Többségük nem egyetlen specifikációs követelményre támaszkodik, ezért nem tartalmaznak hivatkozási kódot (az API verziókezelése emellett a MIM0 C2 ajánlása is). Alkalmazásuk alig jár költséggel; kihagyásuk mindent veszélybe sodorhat.</w:t>
      </w:r>
    </w:p>
    <w:p>
      <w:pPr>
        <w:spacing w:before="40" w:after="20"/>
      </w:pPr>
      <w:r>
        <w:rPr>
          <w:b/>
          <w:i w:val="0"/>
          <w:color w:val="2F3F9E"/>
          <w:sz w:val="22"/>
        </w:rPr>
        <w:t xml:space="preserve">☐  </w:t>
      </w:r>
      <w:r>
        <w:rPr>
          <w:b/>
          <w:i w:val="0"/>
          <w:color w:val="2F3F9E"/>
          <w:sz w:val="21"/>
        </w:rPr>
        <w:t>X.1  Kilépési feltétel</w:t>
      </w:r>
    </w:p>
    <w:p>
      <w:pPr>
        <w:spacing w:before="40" w:after="160"/>
      </w:pPr>
      <w:r>
        <w:rPr>
          <w:b w:val="0"/>
          <w:i w:val="0"/>
          <w:sz w:val="20"/>
        </w:rPr>
        <w:t>A szerződés megszűnésekor a város valamennyi adata (és konfigurációja) nyílt, dokumentált formátumban, külön díj felszámítása nélkül átadásra kerül.</w:t>
      </w:r>
    </w:p>
    <w:p>
      <w:pPr>
        <w:spacing w:before="40" w:after="20"/>
      </w:pPr>
      <w:r>
        <w:rPr>
          <w:b/>
          <w:i w:val="0"/>
          <w:color w:val="2F3F9E"/>
          <w:sz w:val="22"/>
        </w:rPr>
        <w:t xml:space="preserve">☐  </w:t>
      </w:r>
      <w:r>
        <w:rPr>
          <w:b/>
          <w:i w:val="0"/>
          <w:color w:val="2F3F9E"/>
          <w:sz w:val="21"/>
        </w:rPr>
        <w:t>X.2  Adatok feletti jogok</w:t>
      </w:r>
    </w:p>
    <w:p>
      <w:pPr>
        <w:spacing w:before="40" w:after="160"/>
      </w:pPr>
      <w:r>
        <w:rPr>
          <w:b w:val="0"/>
          <w:i w:val="0"/>
          <w:sz w:val="20"/>
        </w:rPr>
        <w:t>A szerződés keretében gyűjtött és előállított adatokhoz fűződő valamennyi jog az ajánlatkérőt illeti meg.</w:t>
      </w:r>
    </w:p>
    <w:p>
      <w:pPr>
        <w:spacing w:before="40" w:after="20"/>
      </w:pPr>
      <w:r>
        <w:rPr>
          <w:b/>
          <w:i w:val="0"/>
          <w:color w:val="2F3F9E"/>
          <w:sz w:val="22"/>
        </w:rPr>
        <w:t xml:space="preserve">☐  </w:t>
      </w:r>
      <w:r>
        <w:rPr>
          <w:b/>
          <w:i w:val="0"/>
          <w:color w:val="2F3F9E"/>
          <w:sz w:val="21"/>
        </w:rPr>
        <w:t>X.3  Nincs díj a saját adatokért</w:t>
      </w:r>
    </w:p>
    <w:p>
      <w:pPr>
        <w:spacing w:before="40" w:after="160"/>
      </w:pPr>
      <w:r>
        <w:rPr>
          <w:b w:val="0"/>
          <w:i w:val="0"/>
          <w:sz w:val="20"/>
        </w:rPr>
        <w:t>Az ajánlatkérő nem fizet díjat a saját adataihoz való hozzáférésért, sem felhasználónként, sem lekérdezésenként.</w:t>
      </w:r>
    </w:p>
    <w:p>
      <w:pPr>
        <w:spacing w:before="40" w:after="20"/>
      </w:pPr>
      <w:r>
        <w:rPr>
          <w:b/>
          <w:i w:val="0"/>
          <w:color w:val="2F3F9E"/>
          <w:sz w:val="22"/>
        </w:rPr>
        <w:t xml:space="preserve">☐  </w:t>
      </w:r>
      <w:r>
        <w:rPr>
          <w:b/>
          <w:i w:val="0"/>
          <w:color w:val="2F3F9E"/>
          <w:sz w:val="21"/>
        </w:rPr>
        <w:t>X.4  API-stabilitás és verziókezelés</w:t>
      </w:r>
    </w:p>
    <w:p>
      <w:pPr>
        <w:spacing w:before="40" w:after="160"/>
      </w:pPr>
      <w:r>
        <w:rPr>
          <w:b w:val="0"/>
          <w:i w:val="0"/>
          <w:sz w:val="20"/>
        </w:rPr>
        <w:t>A szállító a teljes szerződéses időszak alatt biztosítja az API visszamenőleges kompatibilitását. A kompatibilitást érintő változtatásokat legalább 6 hónappal előre bejelenti és új verzióként adja ki, miközben az előző verzió a megállapodás szerinti átállási időpontig elérhető marad.</w:t>
      </w:r>
    </w:p>
    <w:p>
      <w:pPr>
        <w:spacing w:before="40" w:after="20"/>
      </w:pPr>
      <w:r>
        <w:rPr>
          <w:b/>
          <w:i w:val="0"/>
          <w:color w:val="2F3F9E"/>
          <w:sz w:val="22"/>
        </w:rPr>
        <w:t xml:space="preserve">☐  </w:t>
      </w:r>
      <w:r>
        <w:rPr>
          <w:b/>
          <w:i w:val="0"/>
          <w:color w:val="2F3F9E"/>
          <w:sz w:val="21"/>
        </w:rPr>
        <w:t>X.5  Bemutatás, nem puszta ígéret</w:t>
      </w:r>
    </w:p>
    <w:p>
      <w:pPr>
        <w:spacing w:before="40" w:after="160"/>
      </w:pPr>
      <w:r>
        <w:rPr>
          <w:b w:val="0"/>
          <w:i w:val="0"/>
          <w:sz w:val="20"/>
        </w:rPr>
        <w:t>Az ajánlattevők az ajánlatok bírálata során puszta önnyilatkozatok benyújtása helyett működés közben mutatják be a megfelelést. API esetén ez nyilvánosan közzétett, interaktív dokumentációt (például OpenAPI) és érvényes adatokat visszaadó élő felülethívást jelent. Minden bejelölt pontot újra tesztelnek az átadás-átvételkor.</w:t>
      </w:r>
    </w:p>
    <w:p>
      <w:pPr>
        <w:spacing w:before="40" w:after="20"/>
      </w:pPr>
      <w:r>
        <w:rPr>
          <w:b/>
          <w:i w:val="0"/>
          <w:color w:val="2F3F9E"/>
          <w:sz w:val="22"/>
        </w:rPr>
        <w:t xml:space="preserve">☐  </w:t>
      </w:r>
      <w:r>
        <w:rPr>
          <w:b/>
          <w:i w:val="0"/>
          <w:color w:val="2F3F9E"/>
          <w:sz w:val="21"/>
        </w:rPr>
        <w:t>X.6  Nyílt szabványok megnevezése</w:t>
      </w:r>
    </w:p>
    <w:p>
      <w:pPr>
        <w:spacing w:before="40" w:after="160"/>
      </w:pPr>
      <w:r>
        <w:rPr>
          <w:b w:val="0"/>
          <w:i w:val="0"/>
          <w:sz w:val="20"/>
        </w:rPr>
        <w:t>A felhívás konkrét szabványokat nevesít; a „kompatibilis ezzel” állításoknak pontosan meg kell jelölniük a felületet és a verziót. Szabványra vagy műszaki leírásra történő minden hivatkozás esetén elfogadható az egyenértékű megoldás; az egyenértékűséget az ajánlattevő igazolja.</w:t>
      </w:r>
    </w:p>
    <w:p>
      <w:pPr>
        <w:spacing w:before="40" w:after="20"/>
      </w:pPr>
      <w:r>
        <w:rPr>
          <w:b/>
          <w:i w:val="0"/>
          <w:color w:val="2F3F9E"/>
          <w:sz w:val="22"/>
        </w:rPr>
        <w:t xml:space="preserve">☐  </w:t>
      </w:r>
      <w:r>
        <w:rPr>
          <w:b/>
          <w:i w:val="0"/>
          <w:color w:val="2F3F9E"/>
          <w:sz w:val="21"/>
        </w:rPr>
        <w:t>X.7  MIM-ek megfelelőségi nyilatkozat</w:t>
      </w:r>
    </w:p>
    <w:p>
      <w:pPr>
        <w:spacing w:before="40" w:after="160"/>
      </w:pPr>
      <w:r>
        <w:rPr>
          <w:b w:val="0"/>
          <w:i w:val="0"/>
          <w:sz w:val="20"/>
        </w:rPr>
        <w:t>Az ajánlattevő kitölti a megfelelőségi táblázatot (28. o.); ez a szerződés mellékletévé válik.</w:t>
      </w:r>
    </w:p>
    <w:p>
      <w:r>
        <w:br w:type="page"/>
      </w:r>
    </w:p>
    <w:p>
      <w:pPr>
        <w:spacing w:before="120" w:after="160"/>
      </w:pPr>
      <w:r>
        <w:rPr>
          <w:b/>
          <w:i w:val="0"/>
          <w:color w:val="2F3F9E"/>
          <w:sz w:val="36"/>
        </w:rPr>
        <w:t>Példa: levegőminőség-érzékelő hálózat beszerzése</w:t>
      </w:r>
    </w:p>
    <w:p>
      <w:pPr>
        <w:spacing w:before="40" w:after="160"/>
      </w:pPr>
      <w:r>
        <w:rPr>
          <w:b w:val="0"/>
          <w:i w:val="0"/>
          <w:sz w:val="20"/>
        </w:rPr>
        <w:t>Megjelölt oldalak: MIM0, MIM1, MIM2, MIM6 és MIM7 (az adatok térképre kerülnek). A MIM3-ból kizárólag a 3.1 tétel (a levegőminőségi adatok nyílt adatként jelennek meg, így katalógusba valók); a MIM8 nem alkalmazandó: a rendszer nem digitális iker.</w:t>
      </w:r>
    </w:p>
    <w:p>
      <w:pPr>
        <w:spacing w:before="40" w:after="80"/>
      </w:pPr>
      <w:r>
        <w:rPr>
          <w:b/>
          <w:i w:val="0"/>
          <w:color w:val="2F3F9E"/>
          <w:sz w:val="22"/>
        </w:rPr>
        <w:t>Mi hova kerül</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Dokumentum</w:t>
            </w:r>
          </w:p>
        </w:tc>
        <w:tc>
          <w:tcPr>
            <w:tcW w:type="dxa" w:w="3324"/>
            <w:shd w:val="clear" w:fill="EEF0FB"/>
          </w:tcPr>
          <w:p>
            <w:r>
              <w:rPr>
                <w:b/>
                <w:i w:val="0"/>
                <w:color w:val="2F3F9E"/>
                <w:sz w:val="18"/>
              </w:rPr>
              <w:t>Fogalom a 2014/24/EU irányelvben</w:t>
            </w:r>
          </w:p>
        </w:tc>
        <w:tc>
          <w:tcPr>
            <w:tcW w:type="dxa" w:w="3324"/>
            <w:shd w:val="clear" w:fill="EEF0FB"/>
          </w:tcPr>
          <w:p>
            <w:r>
              <w:rPr>
                <w:b/>
                <w:i w:val="0"/>
                <w:color w:val="2F3F9E"/>
                <w:sz w:val="18"/>
              </w:rPr>
              <w:t>Mit kell benne szerepeltetni</w:t>
            </w:r>
          </w:p>
        </w:tc>
      </w:tr>
      <w:tr>
        <w:tc>
          <w:tcPr>
            <w:tcW w:type="dxa" w:w="3324"/>
          </w:tcPr>
          <w:p>
            <w:r>
              <w:rPr>
                <w:b/>
                <w:i w:val="0"/>
                <w:color w:val="2F3F9E"/>
                <w:sz w:val="18"/>
              </w:rPr>
              <w:t>Műszaki leírás</w:t>
            </w:r>
          </w:p>
        </w:tc>
        <w:tc>
          <w:tcPr>
            <w:tcW w:type="dxa" w:w="3324"/>
          </w:tcPr>
          <w:p>
            <w:r>
              <w:rPr>
                <w:b w:val="0"/>
                <w:i w:val="0"/>
                <w:color w:val="646B82"/>
                <w:sz w:val="17"/>
              </w:rPr>
              <w:t>műszaki leírás (42. cikk)</w:t>
            </w:r>
          </w:p>
        </w:tc>
        <w:tc>
          <w:tcPr>
            <w:tcW w:type="dxa" w:w="3324"/>
          </w:tcPr>
          <w:p>
            <w:r>
              <w:rPr>
                <w:b w:val="0"/>
                <w:i w:val="0"/>
                <w:sz w:val="18"/>
              </w:rPr>
              <w:t>a bejelölt pontok a MIM0, MIM1, MIM2, MIM3 (kizárólag 3.1), MIM6 (kivéve 6.4) és MIM7 leírásából, szó szerint, a követelménykóddal, kiegészítve az egyenértékűségre vonatkozó mondattal</w:t>
            </w:r>
          </w:p>
        </w:tc>
      </w:tr>
      <w:tr>
        <w:tc>
          <w:tcPr>
            <w:tcW w:type="dxa" w:w="3324"/>
          </w:tcPr>
          <w:p>
            <w:r>
              <w:rPr>
                <w:b/>
                <w:i w:val="0"/>
                <w:color w:val="2F3F9E"/>
                <w:sz w:val="18"/>
              </w:rPr>
              <w:t>Részvételi feltételek</w:t>
            </w:r>
          </w:p>
        </w:tc>
        <w:tc>
          <w:tcPr>
            <w:tcW w:type="dxa" w:w="3324"/>
          </w:tcPr>
          <w:p>
            <w:r>
              <w:rPr>
                <w:b w:val="0"/>
                <w:i w:val="0"/>
                <w:color w:val="646B82"/>
                <w:sz w:val="17"/>
              </w:rPr>
              <w:t>kiválasztási szempontok (58. és 62. cikk)</w:t>
            </w:r>
          </w:p>
        </w:tc>
        <w:tc>
          <w:tcPr>
            <w:tcW w:type="dxa" w:w="3324"/>
          </w:tcPr>
          <w:p>
            <w:r>
              <w:rPr>
                <w:b w:val="0"/>
                <w:i w:val="0"/>
                <w:sz w:val="18"/>
              </w:rPr>
              <w:t>az ISO/IEC 27001:2022 szabványnak vagy azzal egyenértékűnek való megfelelés igazolása (6.4 pont)</w:t>
            </w:r>
          </w:p>
        </w:tc>
      </w:tr>
      <w:tr>
        <w:tc>
          <w:tcPr>
            <w:tcW w:type="dxa" w:w="3324"/>
          </w:tcPr>
          <w:p>
            <w:r>
              <w:rPr>
                <w:b/>
                <w:i w:val="0"/>
                <w:color w:val="2F3F9E"/>
                <w:sz w:val="18"/>
              </w:rPr>
              <w:t>Igazolási módok</w:t>
            </w:r>
          </w:p>
        </w:tc>
        <w:tc>
          <w:tcPr>
            <w:tcW w:type="dxa" w:w="3324"/>
          </w:tcPr>
          <w:p>
            <w:r>
              <w:rPr>
                <w:b w:val="0"/>
                <w:i w:val="0"/>
                <w:color w:val="646B82"/>
                <w:sz w:val="17"/>
              </w:rPr>
              <w:t>vizsgálati jelentések, tanúsítás és egyéb igazolási módok (44. cikk)</w:t>
            </w:r>
          </w:p>
        </w:tc>
        <w:tc>
          <w:tcPr>
            <w:tcW w:type="dxa" w:w="3324"/>
          </w:tcPr>
          <w:p>
            <w:r>
              <w:rPr>
                <w:b w:val="0"/>
                <w:i w:val="0"/>
                <w:sz w:val="18"/>
              </w:rPr>
              <w:t>a megfelelőségi táblázat az ajánlat kötelező mellékleteként: M, E vagy N minden tételnél, az igazolás megjelölésével (API dokumentáció címe, teszthozzáférés)</w:t>
            </w:r>
          </w:p>
        </w:tc>
      </w:tr>
      <w:tr>
        <w:tc>
          <w:tcPr>
            <w:tcW w:type="dxa" w:w="3324"/>
          </w:tcPr>
          <w:p>
            <w:r>
              <w:rPr>
                <w:b/>
                <w:i w:val="0"/>
                <w:color w:val="2F3F9E"/>
                <w:sz w:val="18"/>
              </w:rPr>
              <w:t>Szerződéstervezet</w:t>
            </w:r>
          </w:p>
        </w:tc>
        <w:tc>
          <w:tcPr>
            <w:tcW w:type="dxa" w:w="3324"/>
          </w:tcPr>
          <w:p>
            <w:r>
              <w:rPr>
                <w:b w:val="0"/>
                <w:i w:val="0"/>
                <w:color w:val="646B82"/>
                <w:sz w:val="17"/>
              </w:rPr>
              <w:t>szerződés teljesítésének feltételei (70. cikk)</w:t>
            </w:r>
          </w:p>
        </w:tc>
        <w:tc>
          <w:tcPr>
            <w:tcW w:type="dxa" w:w="3324"/>
          </w:tcPr>
          <w:p>
            <w:r>
              <w:rPr>
                <w:b w:val="0"/>
                <w:i w:val="0"/>
                <w:sz w:val="18"/>
              </w:rPr>
              <w:t>Kilépési feltétel, Adatok feletti jogok, Nincs díj a saját adatokért, API-stabilitás és verziókezelés; a kitöltött megfelelőségi táblázat mint melléklet</w:t>
            </w:r>
          </w:p>
        </w:tc>
      </w:tr>
      <w:tr>
        <w:tc>
          <w:tcPr>
            <w:tcW w:type="dxa" w:w="3324"/>
          </w:tcPr>
          <w:p>
            <w:r>
              <w:rPr>
                <w:b/>
                <w:i w:val="0"/>
                <w:color w:val="2F3F9E"/>
                <w:sz w:val="18"/>
              </w:rPr>
              <w:t>Átadás-átvételi jegyzőkönyv</w:t>
            </w:r>
          </w:p>
        </w:tc>
        <w:tc>
          <w:tcPr>
            <w:tcW w:type="dxa" w:w="3324"/>
          </w:tcPr>
          <w:p>
            <w:r>
              <w:rPr>
                <w:b w:val="0"/>
                <w:i w:val="0"/>
                <w:color w:val="646B82"/>
                <w:sz w:val="17"/>
              </w:rPr>
              <w:t>szerződés teljesítésének feltételei (70. cikk)</w:t>
            </w:r>
          </w:p>
        </w:tc>
        <w:tc>
          <w:tcPr>
            <w:tcW w:type="dxa" w:w="3324"/>
          </w:tcPr>
          <w:p>
            <w:r>
              <w:rPr>
                <w:b w:val="0"/>
                <w:i w:val="0"/>
                <w:sz w:val="18"/>
              </w:rPr>
              <w:t>a megfelelőségi táblázat „Ellenőrizve” oszlopa mint tesztelési jegyzőkönyv</w:t>
            </w:r>
          </w:p>
        </w:tc>
      </w:tr>
    </w:tbl>
    <w:p>
      <w:pPr>
        <w:spacing w:before="200" w:after="80"/>
      </w:pPr>
      <w:r>
        <w:rPr>
          <w:b/>
          <w:i w:val="0"/>
          <w:color w:val="2F3F9E"/>
          <w:sz w:val="22"/>
        </w:rPr>
        <w:t>Mintaszöveg a műszaki leíráshoz</w:t>
      </w:r>
    </w:p>
    <w:p>
      <w:pPr>
        <w:spacing w:before="40" w:after="60"/>
      </w:pPr>
      <w:r>
        <w:rPr>
          <w:b/>
          <w:i w:val="0"/>
          <w:sz w:val="19"/>
        </w:rPr>
        <w:t>4.3 Interoperabilitás és adathozzáférés</w:t>
      </w:r>
    </w:p>
    <w:p>
      <w:pPr>
        <w:spacing w:before="40" w:after="60"/>
      </w:pPr>
      <w:r>
        <w:rPr>
          <w:b w:val="0"/>
          <w:i w:val="0"/>
          <w:sz w:val="19"/>
        </w:rPr>
        <w:t>4.3.1 A rendszer által gyűjtött vagy előállított valamennyi adat lekérhető legalább egy géppel olvasható formátumban (pl. JSON, CSV) egy szabványos webes API-n keresztül. (MIMs Plus 9.0, MIM0 R1.1, R1.2)</w:t>
      </w:r>
    </w:p>
    <w:p>
      <w:pPr>
        <w:spacing w:before="40" w:after="60"/>
      </w:pPr>
      <w:r>
        <w:rPr>
          <w:b w:val="0"/>
          <w:i w:val="0"/>
          <w:sz w:val="19"/>
        </w:rPr>
        <w:t>4.3.2 Az API formálisan le van írva egy nyílt, géppel olvasható dokumentumban (például OpenAPI), amelyet stabil címen tesznek közzé. (MIM0 R1.3)</w:t>
      </w:r>
    </w:p>
    <w:p>
      <w:pPr>
        <w:spacing w:before="40" w:after="60"/>
      </w:pPr>
      <w:r>
        <w:rPr>
          <w:b w:val="0"/>
          <w:i w:val="0"/>
          <w:sz w:val="19"/>
        </w:rPr>
        <w:t>4.3.3 Az API lehetővé teszi az adatok mérés ideje és helye szerinti szűrését. (MIM0 R2.1, R2.2)</w:t>
      </w:r>
    </w:p>
    <w:p>
      <w:pPr>
        <w:spacing w:before="40" w:after="60"/>
      </w:pPr>
      <w:r>
        <w:rPr>
          <w:b w:val="0"/>
          <w:i w:val="0"/>
          <w:sz w:val="19"/>
        </w:rPr>
        <w:t>… 4.3.4 – 4.3.21: további megjelölt pontok …</w:t>
      </w:r>
    </w:p>
    <w:p>
      <w:pPr>
        <w:spacing w:before="40" w:after="60"/>
      </w:pPr>
      <w:r>
        <w:rPr>
          <w:b w:val="0"/>
          <w:i w:val="0"/>
          <w:sz w:val="19"/>
        </w:rPr>
        <w:t>4.3.22 Szabványra vagy műszaki leírásra történő minden hivatkozás esetén elfogadható az egyenértékű megoldás; az egyenértékűséget az ajánlattevő igazolja.</w:t>
      </w:r>
    </w:p>
    <w:p>
      <w:pPr>
        <w:spacing w:before="40" w:after="60"/>
      </w:pPr>
      <w:r>
        <w:rPr>
          <w:b w:val="0"/>
          <w:i w:val="0"/>
          <w:sz w:val="19"/>
        </w:rPr>
        <w:t>4.3.23 Az ajánlattevő kitölti a megfelelőségi táblázatot (a közbeszerzési dokumentumok melléklete), és minden előírt tételnél megadja az igazolást. Az ajánlatok bírálata során az ajánlattevő bemutatja a 4.3.1–4.3.21. pontoknak való megfelelést (például élő API-hívással); az az ajánlat, amely nem teljesít egy előírt pontot, nem felel meg a szerződés tárgyára vonatkozó követelményeknek. Az ajánlatkérő az átadás-átvételkor ismét teszteli a pontokat; ezek sikertelensége az átadás-átvétel megtagadásának indoka.</w:t>
      </w:r>
    </w:p>
    <w:p>
      <w:pPr>
        <w:spacing w:before="120" w:after="80"/>
      </w:pPr>
      <w:r>
        <w:rPr>
          <w:b w:val="0"/>
          <w:i/>
          <w:color w:val="646B82"/>
          <w:sz w:val="18"/>
        </w:rPr>
        <w:t>A 4.3.3 pont mutatja, hogy az előírás pontosítható a beszerzéshez: érzékelőknél indokolt a mérési idő és hely szerinti szűrést kérni.</w:t>
      </w:r>
    </w:p>
    <w:p>
      <w:pPr>
        <w:spacing w:before="160" w:after="80"/>
      </w:pPr>
      <w:r>
        <w:rPr>
          <w:b/>
          <w:i w:val="0"/>
          <w:color w:val="2F3F9E"/>
          <w:sz w:val="22"/>
        </w:rPr>
        <w:t>Kitöltött megfelelőségi táblázat (kivonat)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Követelmény (rövid)</w:t>
            </w:r>
          </w:p>
        </w:tc>
        <w:tc>
          <w:tcPr>
            <w:tcW w:type="dxa" w:w="1994"/>
            <w:shd w:val="clear" w:fill="EEF0FB"/>
          </w:tcPr>
          <w:p>
            <w:r>
              <w:rPr>
                <w:b/>
                <w:i w:val="0"/>
                <w:color w:val="2F3F9E"/>
                <w:sz w:val="17"/>
              </w:rPr>
              <w:t>M / E / N</w:t>
            </w:r>
          </w:p>
        </w:tc>
        <w:tc>
          <w:tcPr>
            <w:tcW w:type="dxa" w:w="1994"/>
            <w:shd w:val="clear" w:fill="EEF0FB"/>
          </w:tcPr>
          <w:p>
            <w:r>
              <w:rPr>
                <w:b/>
                <w:i w:val="0"/>
                <w:color w:val="2F3F9E"/>
                <w:sz w:val="17"/>
              </w:rPr>
              <w:t>Igazolás módja és helye</w:t>
            </w:r>
          </w:p>
        </w:tc>
        <w:tc>
          <w:tcPr>
            <w:tcW w:type="dxa" w:w="1994"/>
            <w:shd w:val="clear" w:fill="EEF0FB"/>
          </w:tcPr>
          <w:p>
            <w:r>
              <w:rPr>
                <w:b/>
                <w:i w:val="0"/>
                <w:color w:val="2F3F9E"/>
                <w:sz w:val="17"/>
              </w:rPr>
              <w:t>Ellenőrizve</w:t>
            </w:r>
          </w:p>
        </w:tc>
      </w:tr>
      <w:tr>
        <w:tc>
          <w:tcPr>
            <w:tcW w:type="dxa" w:w="1994"/>
          </w:tcPr>
          <w:p>
            <w:r>
              <w:rPr>
                <w:b w:val="0"/>
                <w:i w:val="0"/>
                <w:sz w:val="17"/>
              </w:rPr>
              <w:t>0.1</w:t>
            </w:r>
          </w:p>
        </w:tc>
        <w:tc>
          <w:tcPr>
            <w:tcW w:type="dxa" w:w="1994"/>
          </w:tcPr>
          <w:p>
            <w:r>
              <w:rPr>
                <w:b w:val="0"/>
                <w:i w:val="0"/>
                <w:sz w:val="17"/>
              </w:rPr>
              <w:t>Géppel olvasható adat szabványos webes API-n</w:t>
            </w:r>
          </w:p>
        </w:tc>
        <w:tc>
          <w:tcPr>
            <w:tcW w:type="dxa" w:w="1994"/>
          </w:tcPr>
          <w:p>
            <w:r>
              <w:rPr>
                <w:b w:val="0"/>
                <w:i w:val="0"/>
                <w:sz w:val="17"/>
              </w:rPr>
              <w:t>M</w:t>
            </w:r>
          </w:p>
        </w:tc>
        <w:tc>
          <w:tcPr>
            <w:tcW w:type="dxa" w:w="1994"/>
          </w:tcPr>
          <w:p>
            <w:r>
              <w:rPr>
                <w:b w:val="0"/>
                <w:i w:val="0"/>
                <w:sz w:val="17"/>
              </w:rPr>
              <w:t>A REST API JSON és CSV formátumot ad vissza; dokumentáció az ajánlatban megadott címen, 12. o.; teszthozzáférés a 3. mellékletben</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Változásokra való feliratkozás, ahol szükséges</w:t>
            </w:r>
          </w:p>
        </w:tc>
        <w:tc>
          <w:tcPr>
            <w:tcW w:type="dxa" w:w="1994"/>
          </w:tcPr>
          <w:p>
            <w:r>
              <w:rPr>
                <w:b w:val="0"/>
                <w:i w:val="0"/>
                <w:sz w:val="17"/>
              </w:rPr>
              <w:t>N</w:t>
            </w:r>
          </w:p>
        </w:tc>
        <w:tc>
          <w:tcPr>
            <w:tcW w:type="dxa" w:w="1994"/>
          </w:tcPr>
          <w:p>
            <w:r>
              <w:rPr>
                <w:b w:val="0"/>
                <w:i w:val="0"/>
                <w:sz w:val="17"/>
              </w:rPr>
              <w:t>még nem támogatott; a következő verzióban tervezett</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Nyílt téradat-formátumok</w:t>
            </w:r>
          </w:p>
        </w:tc>
        <w:tc>
          <w:tcPr>
            <w:tcW w:type="dxa" w:w="1994"/>
          </w:tcPr>
          <w:p>
            <w:r>
              <w:rPr>
                <w:b w:val="0"/>
                <w:i w:val="0"/>
                <w:sz w:val="17"/>
              </w:rPr>
              <w:t>E</w:t>
            </w:r>
          </w:p>
        </w:tc>
        <w:tc>
          <w:tcPr>
            <w:tcW w:type="dxa" w:w="1994"/>
          </w:tcPr>
          <w:p>
            <w:r>
              <w:rPr>
                <w:b w:val="0"/>
                <w:i w:val="0"/>
                <w:sz w:val="17"/>
              </w:rPr>
              <w:t>GeoJSON helyett GeoPackage nyílt OGC szabványt biztosít; az egyenértékűség bemutatva az ajánlat 15. oldalán</w:t>
            </w:r>
          </w:p>
        </w:tc>
        <w:tc>
          <w:tcPr>
            <w:tcW w:type="dxa" w:w="1994"/>
          </w:tcPr>
          <w:p>
            <w:r>
              <w:rPr>
                <w:b w:val="0"/>
                <w:i w:val="0"/>
                <w:sz w:val="17"/>
              </w:rPr>
              <w:t>✓</w:t>
            </w:r>
          </w:p>
        </w:tc>
      </w:tr>
    </w:tbl>
    <w:p>
      <w:pPr>
        <w:spacing w:before="80" w:after="80"/>
      </w:pPr>
      <w:r>
        <w:rPr>
          <w:b w:val="0"/>
          <w:i/>
          <w:color w:val="646B82"/>
          <w:sz w:val="18"/>
        </w:rPr>
        <w:t>A jövőbeli funkcionalitásra vonatkozó ígéret N-nek minősül: a bírálóbizottság kizárólag azt ellenőrzi, amit az ajánlattevő be tud mutatni. Előírt tétel esetén az N azt jelenti, hogy az ajánlat nem felel meg a szerződés tárgyára vonatkozó követelményeknek.</w:t>
      </w:r>
    </w:p>
    <w:p>
      <w:pPr>
        <w:spacing w:before="40" w:after="80"/>
      </w:pPr>
      <w:r>
        <w:rPr>
          <w:b w:val="0"/>
          <w:i/>
          <w:color w:val="646B82"/>
          <w:sz w:val="18"/>
        </w:rPr>
        <w:t>Igazítsa a megfogalmazást a nemzeti jogszabályokhoz, és ellenőriztesse a közbeszerzési felelőssel.</w:t>
      </w:r>
    </w:p>
    <w:p>
      <w:r>
        <w:br w:type="page"/>
      </w:r>
    </w:p>
    <w:p>
      <w:pPr>
        <w:spacing w:before="120" w:after="160"/>
      </w:pPr>
      <w:r>
        <w:rPr>
          <w:b/>
          <w:i w:val="0"/>
          <w:color w:val="2F3F9E"/>
          <w:sz w:val="36"/>
        </w:rPr>
        <w:t>Megfelelőségi táblázat</w:t>
      </w:r>
    </w:p>
    <w:p>
      <w:pPr>
        <w:spacing w:before="40" w:after="80"/>
      </w:pPr>
      <w:r>
        <w:rPr>
          <w:b w:val="0"/>
          <w:i w:val="0"/>
          <w:sz w:val="19"/>
        </w:rPr>
        <w:t>Tételenként egy sor. Az ajánlatkérő megjelöli a szerződés által előírt pontokat, és a táblázatot csatolja a közbeszerzési dokumentumokhoz az ajánlat kötelező mellékleteként. Minden előírt tételhez az ajánlattevő beírja az M (megfelel), E (egyenértékű megoldással megfelel) vagy N (nem felel meg) jelölést, röviden leírja a megoldást, és hivatkozik az igazolásra: dokumentáció címe, teszthozzáférés, ajánlati oldalszám. A puszta nyilatkozat igazolás nélkül nem elegendő. A bírálóbizottság minden pontot ellenőriz az ajánlatok bírálatakor, majd az átadás-átvételkor (✓ megerősítve, ✗ nincs megerősítve, — nem ellenőrzött).</w:t>
      </w:r>
    </w:p>
    <w:p>
      <w:pPr>
        <w:spacing w:before="40" w:after="160"/>
      </w:pPr>
      <w:r>
        <w:rPr>
          <w:b w:val="0"/>
          <w:i w:val="0"/>
          <w:sz w:val="19"/>
        </w:rPr>
        <w:t>A kitöltött táblázat az ajánlat részét képezi, és a szerződés mellékletévé válik. Célja a szerződés tárgyára vonatkozó követelmények ellenőrzése (megfelelt vagy nem felelt meg); nem értékelési szempont. A megfelelés pontozásához azt a közbeszerzési dokumentumokban előzetesen közzétett értékelési szempontok között kell feltüntetni (2014/24/EU irányelv, 67. cikk).</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Követelmény (rövid)</w:t>
            </w:r>
          </w:p>
        </w:tc>
        <w:tc>
          <w:tcPr>
            <w:tcW w:type="dxa" w:w="1701"/>
            <w:shd w:val="clear" w:fill="EEF0FB"/>
          </w:tcPr>
          <w:p>
            <w:r>
              <w:rPr>
                <w:b/>
                <w:i w:val="0"/>
                <w:color w:val="2F3F9E"/>
                <w:sz w:val="17"/>
              </w:rPr>
              <w:t>Spec. hiv.</w:t>
            </w:r>
          </w:p>
        </w:tc>
        <w:tc>
          <w:tcPr>
            <w:tcW w:type="dxa" w:w="1077"/>
            <w:shd w:val="clear" w:fill="EEF0FB"/>
          </w:tcPr>
          <w:p>
            <w:r>
              <w:rPr>
                <w:b/>
                <w:i w:val="0"/>
                <w:color w:val="2F3F9E"/>
                <w:sz w:val="17"/>
              </w:rPr>
              <w:t>Előírt?</w:t>
            </w:r>
          </w:p>
          <w:p>
            <w:r>
              <w:rPr>
                <w:b w:val="0"/>
                <w:i/>
                <w:color w:val="646B82"/>
                <w:sz w:val="15"/>
              </w:rPr>
              <w:t>ajánlatkérő</w:t>
            </w:r>
          </w:p>
        </w:tc>
        <w:tc>
          <w:tcPr>
            <w:tcW w:type="dxa" w:w="794"/>
            <w:shd w:val="clear" w:fill="EEF0FB"/>
          </w:tcPr>
          <w:p>
            <w:r>
              <w:rPr>
                <w:b/>
                <w:i w:val="0"/>
                <w:color w:val="2F3F9E"/>
                <w:sz w:val="17"/>
              </w:rPr>
              <w:t>M / E / N</w:t>
            </w:r>
          </w:p>
          <w:p>
            <w:r>
              <w:rPr>
                <w:b w:val="0"/>
                <w:i/>
                <w:color w:val="646B82"/>
                <w:sz w:val="15"/>
              </w:rPr>
              <w:t>ajánlattevő</w:t>
            </w:r>
          </w:p>
        </w:tc>
        <w:tc>
          <w:tcPr>
            <w:tcW w:type="dxa" w:w="2154"/>
            <w:shd w:val="clear" w:fill="EEF0FB"/>
          </w:tcPr>
          <w:p>
            <w:r>
              <w:rPr>
                <w:b/>
                <w:i w:val="0"/>
                <w:color w:val="2F3F9E"/>
                <w:sz w:val="17"/>
              </w:rPr>
              <w:t>Igazolás módja és helye</w:t>
            </w:r>
          </w:p>
          <w:p>
            <w:r>
              <w:rPr>
                <w:b w:val="0"/>
                <w:i/>
                <w:color w:val="646B82"/>
                <w:sz w:val="15"/>
              </w:rPr>
              <w:t>ajánlattevő</w:t>
            </w:r>
          </w:p>
        </w:tc>
        <w:tc>
          <w:tcPr>
            <w:tcW w:type="dxa" w:w="794"/>
            <w:shd w:val="clear" w:fill="EEF0FB"/>
          </w:tcPr>
          <w:p>
            <w:r>
              <w:rPr>
                <w:b/>
                <w:i w:val="0"/>
                <w:color w:val="2F3F9E"/>
                <w:sz w:val="17"/>
              </w:rPr>
              <w:t>Ellenőrizve</w:t>
            </w:r>
          </w:p>
          <w:p>
            <w:r>
              <w:rPr>
                <w:b w:val="0"/>
                <w:i/>
                <w:color w:val="646B82"/>
                <w:sz w:val="15"/>
              </w:rPr>
              <w:t>bizottság</w:t>
            </w:r>
          </w:p>
        </w:tc>
      </w:tr>
      <w:tr>
        <w:tc>
          <w:tcPr>
            <w:tcW w:type="dxa" w:w="9975"/>
            <w:gridSpan w:val="7"/>
            <w:shd w:val="clear" w:fill="2F3F9E"/>
          </w:tcPr>
          <w:p>
            <w:r>
              <w:rPr>
                <w:b/>
                <w:i w:val="0"/>
                <w:color w:val="FFFFFF"/>
                <w:sz w:val="17"/>
              </w:rPr>
              <w:t>MIM0 · Ki tudjuk nyerni az adatainkat?</w:t>
            </w:r>
          </w:p>
        </w:tc>
      </w:tr>
      <w:tr>
        <w:tc>
          <w:tcPr>
            <w:tcW w:type="dxa" w:w="567"/>
          </w:tcPr>
          <w:p>
            <w:r>
              <w:rPr>
                <w:b w:val="0"/>
                <w:i w:val="0"/>
                <w:sz w:val="17"/>
              </w:rPr>
              <w:t>0.1</w:t>
            </w:r>
          </w:p>
        </w:tc>
        <w:tc>
          <w:tcPr>
            <w:tcW w:type="dxa" w:w="2608"/>
          </w:tcPr>
          <w:p>
            <w:r>
              <w:rPr>
                <w:b w:val="0"/>
                <w:i w:val="0"/>
                <w:sz w:val="17"/>
              </w:rPr>
              <w:t>Géppel olvasható adat szabványos webes API-n</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Nyílt API-leírás (OpenAPI) stabil címen</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Szűrés idő, hely és tulajdonság szerint</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Változásokra feliratkozás, ahol szükséges</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Szabványos HTTP hibák, gyorsítótár, korlátok</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Minden dolog időtálló elnevezéssel bír?</w:t>
            </w:r>
          </w:p>
        </w:tc>
      </w:tr>
      <w:tr>
        <w:tc>
          <w:tcPr>
            <w:tcW w:type="dxa" w:w="567"/>
          </w:tcPr>
          <w:p>
            <w:r>
              <w:rPr>
                <w:b w:val="0"/>
                <w:i w:val="0"/>
                <w:sz w:val="17"/>
              </w:rPr>
              <w:t>1.1</w:t>
            </w:r>
          </w:p>
        </w:tc>
        <w:tc>
          <w:tcPr>
            <w:tcW w:type="dxa" w:w="2608"/>
          </w:tcPr>
          <w:p>
            <w:r>
              <w:rPr>
                <w:b w:val="0"/>
                <w:i w:val="0"/>
                <w:sz w:val="17"/>
              </w:rPr>
              <w:t>Egyedi állandó azonosító entitásonként</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Azonosító lekérése adatot és típust ad</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Rendszerek közti azonosító-hozzárendelés</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Nincsenek belső szállítói adatok az azonosítókban</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Közös nyelvet beszélünk?</w:t>
            </w:r>
          </w:p>
        </w:tc>
      </w:tr>
      <w:tr>
        <w:tc>
          <w:tcPr>
            <w:tcW w:type="dxa" w:w="567"/>
          </w:tcPr>
          <w:p>
            <w:r>
              <w:rPr>
                <w:b w:val="0"/>
                <w:i w:val="0"/>
                <w:sz w:val="17"/>
              </w:rPr>
              <w:t>2.1</w:t>
            </w:r>
          </w:p>
        </w:tc>
        <w:tc>
          <w:tcPr>
            <w:tcW w:type="dxa" w:w="2608"/>
          </w:tcPr>
          <w:p>
            <w:r>
              <w:rPr>
                <w:b w:val="0"/>
                <w:i w:val="0"/>
                <w:sz w:val="17"/>
              </w:rPr>
              <w:t>Szabványos adatmodellek, ahol lehetséges</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Dokumentált modellek, egyértelmű egységek</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Kiterjesztések csak profilként, sosem saját fork-ként</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Nyílt, sémával ellenőrizhető szerializáció</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Tudunk egyértelmű feltételekkel megosztani?</w:t>
            </w:r>
          </w:p>
        </w:tc>
      </w:tr>
      <w:tr>
        <w:tc>
          <w:tcPr>
            <w:tcW w:type="dxa" w:w="567"/>
          </w:tcPr>
          <w:p>
            <w:r>
              <w:rPr>
                <w:b w:val="0"/>
                <w:i w:val="0"/>
                <w:sz w:val="17"/>
              </w:rPr>
              <w:t>3.1</w:t>
            </w:r>
          </w:p>
        </w:tc>
        <w:tc>
          <w:tcPr>
            <w:tcW w:type="dxa" w:w="2608"/>
          </w:tcPr>
          <w:p>
            <w:r>
              <w:rPr>
                <w:b w:val="0"/>
                <w:i w:val="0"/>
                <w:sz w:val="17"/>
              </w:rPr>
              <w:t>Adatkészletek leírása szabvány metaadatokkal</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Mintalicencek és mintamegállapodások</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A hozzáférést maga a város szabályozza</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Biztonságban vannak az adataink?</w:t>
            </w:r>
          </w:p>
        </w:tc>
      </w:tr>
      <w:tr>
        <w:tc>
          <w:tcPr>
            <w:tcW w:type="dxa" w:w="567"/>
          </w:tcPr>
          <w:p>
            <w:r>
              <w:rPr>
                <w:b w:val="0"/>
                <w:i w:val="0"/>
                <w:sz w:val="17"/>
              </w:rPr>
              <w:t>6.1</w:t>
            </w:r>
          </w:p>
        </w:tc>
        <w:tc>
          <w:tcPr>
            <w:tcW w:type="dxa" w:w="2608"/>
          </w:tcPr>
          <w:p>
            <w:r>
              <w:rPr>
                <w:b w:val="0"/>
                <w:i w:val="0"/>
                <w:sz w:val="17"/>
              </w:rPr>
              <w:t>Titkosított adatátvitel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Szabványos belépés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Szerepalapú hozzáférés és auditnaplók</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ISO/IEC 27001:2022 megfelelés igazolása</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Működik térképen?</w:t>
            </w:r>
          </w:p>
        </w:tc>
      </w:tr>
      <w:tr>
        <w:tc>
          <w:tcPr>
            <w:tcW w:type="dxa" w:w="567"/>
          </w:tcPr>
          <w:p>
            <w:r>
              <w:rPr>
                <w:b w:val="0"/>
                <w:i w:val="0"/>
                <w:sz w:val="17"/>
              </w:rPr>
              <w:t>7.1</w:t>
            </w:r>
          </w:p>
        </w:tc>
        <w:tc>
          <w:tcPr>
            <w:tcW w:type="dxa" w:w="2608"/>
          </w:tcPr>
          <w:p>
            <w:r>
              <w:rPr>
                <w:b w:val="0"/>
                <w:i w:val="0"/>
                <w:sz w:val="17"/>
              </w:rPr>
              <w:t>Szabványos OGC interfészek</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Nyílt téradat-formátumok</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Feltüntetett koordináta-rendszer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Állandó azonosítók a téradatokhoz (lásd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Képes növekedni a digitális ikrünk?</w:t>
            </w:r>
          </w:p>
        </w:tc>
      </w:tr>
      <w:tr>
        <w:tc>
          <w:tcPr>
            <w:tcW w:type="dxa" w:w="567"/>
          </w:tcPr>
          <w:p>
            <w:r>
              <w:rPr>
                <w:b w:val="0"/>
                <w:i w:val="0"/>
                <w:sz w:val="17"/>
              </w:rPr>
              <w:t>8.1</w:t>
            </w:r>
          </w:p>
        </w:tc>
        <w:tc>
          <w:tcPr>
            <w:tcW w:type="dxa" w:w="2608"/>
          </w:tcPr>
          <w:p>
            <w:r>
              <w:rPr>
                <w:b w:val="0"/>
                <w:i w:val="0"/>
                <w:sz w:val="17"/>
              </w:rPr>
              <w:t>A digitális iker adatai és kimenetei API-kon keresztül</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Dokumentált és hívható modellek</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Szabványos kimeneti formátumok</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Munkafolyamat-eredet rögzítése</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Átfogó szerződéses feltételek   Az ajánlattevő megerősíti a szerződéses feltétel elfogadását (M / N).</w:t>
            </w:r>
          </w:p>
        </w:tc>
      </w:tr>
      <w:tr>
        <w:tc>
          <w:tcPr>
            <w:tcW w:type="dxa" w:w="567"/>
          </w:tcPr>
          <w:p>
            <w:r>
              <w:rPr>
                <w:b w:val="0"/>
                <w:i w:val="0"/>
                <w:sz w:val="17"/>
              </w:rPr>
              <w:t>X.1</w:t>
            </w:r>
          </w:p>
        </w:tc>
        <w:tc>
          <w:tcPr>
            <w:tcW w:type="dxa" w:w="2608"/>
          </w:tcPr>
          <w:p>
            <w:r>
              <w:rPr>
                <w:b w:val="0"/>
                <w:i w:val="0"/>
                <w:sz w:val="17"/>
              </w:rPr>
              <w:t>Kilépés: ingyenes átadás nyílt formátumban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Az adatok feletti jogok az ajánlatkérőt illetik</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Nincs díj a saját adatok eléréséért</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API-stabilitás: verziókezelés, 6 hónapos előzetes értesítés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Az alábbi rövid elnevezések a MIM oldalakon lévő teljes pontokat helyettesítik — kétség esetén a teljes szöveg az irányadó.</w:t>
      </w:r>
    </w:p>
    <w:p>
      <w:pPr>
        <w:spacing w:before="40" w:after="80"/>
      </w:pPr>
      <w:r>
        <w:rPr>
          <w:b w:val="0"/>
          <w:i w:val="0"/>
          <w:color w:val="646B82"/>
          <w:sz w:val="17"/>
        </w:rPr>
        <w:t>A táblázat szerkeszthető változata elérhető itt: https://www.joinedcontext.com/mims/</w:t>
      </w:r>
    </w:p>
    <w:p>
      <w:r>
        <w:br w:type="page"/>
      </w:r>
    </w:p>
    <w:p>
      <w:pPr>
        <w:spacing w:before="120" w:after="160"/>
      </w:pPr>
      <w:r>
        <w:rPr>
          <w:b/>
          <w:i w:val="0"/>
          <w:color w:val="2F3F9E"/>
          <w:sz w:val="36"/>
        </w:rPr>
        <w:t>Rövid szójegyzék</w:t>
      </w:r>
    </w:p>
    <w:p>
      <w:pPr>
        <w:spacing w:before="40" w:after="120"/>
      </w:pPr>
      <w:r>
        <w:rPr>
          <w:b/>
          <w:i w:val="0"/>
          <w:color w:val="2F3F9E"/>
          <w:sz w:val="20"/>
        </w:rPr>
        <w:t xml:space="preserve">API  —  </w:t>
      </w:r>
      <w:r>
        <w:rPr>
          <w:b w:val="0"/>
          <w:i w:val="0"/>
          <w:sz w:val="20"/>
        </w:rPr>
        <w:t>Olyan kapcsolódási felület, amelyen keresztül egy szoftver adatokat kér egy másiktól az interneten, emberi beavatkozás nélkül.</w:t>
      </w:r>
    </w:p>
    <w:p>
      <w:pPr>
        <w:spacing w:before="40" w:after="120"/>
      </w:pPr>
      <w:r>
        <w:rPr>
          <w:b/>
          <w:i w:val="0"/>
          <w:color w:val="2F3F9E"/>
          <w:sz w:val="20"/>
        </w:rPr>
        <w:t xml:space="preserve">Adatmodell  —  </w:t>
      </w:r>
      <w:r>
        <w:rPr>
          <w:b w:val="0"/>
          <w:i w:val="0"/>
          <w:sz w:val="20"/>
        </w:rPr>
        <w:t>Az adatok elfogadott struktúrája: milyen mezők léteznek, mit jelentenek, és milyen mértékegységeket használnak.</w:t>
      </w:r>
    </w:p>
    <w:p>
      <w:pPr>
        <w:spacing w:before="40" w:after="120"/>
      </w:pPr>
      <w:r>
        <w:rPr>
          <w:b/>
          <w:i w:val="0"/>
          <w:color w:val="2F3F9E"/>
          <w:sz w:val="20"/>
        </w:rPr>
        <w:t xml:space="preserve">DCAT-AP  —  </w:t>
      </w:r>
      <w:r>
        <w:rPr>
          <w:b w:val="0"/>
          <w:i w:val="0"/>
          <w:sz w:val="20"/>
        </w:rPr>
        <w:t>Európai metaadatprofil adatkatalógusokhoz; biztosítja, hogy az adatkészletek az országos és európai portálokon is kereshetők legyenek.</w:t>
      </w:r>
    </w:p>
    <w:p>
      <w:pPr>
        <w:spacing w:before="40" w:after="120"/>
      </w:pPr>
      <w:r>
        <w:rPr>
          <w:b/>
          <w:i w:val="0"/>
          <w:color w:val="2F3F9E"/>
          <w:sz w:val="20"/>
        </w:rPr>
        <w:t xml:space="preserve">EPSG  —  </w:t>
      </w:r>
      <w:r>
        <w:rPr>
          <w:b w:val="0"/>
          <w:i w:val="0"/>
          <w:sz w:val="20"/>
        </w:rPr>
        <w:t>A vetületi koordináta-rendszerek numerikus kódjainak nyilvántartása (pl. EPSG:4326 a WGS 84 rendszerhez).</w:t>
      </w:r>
    </w:p>
    <w:p>
      <w:pPr>
        <w:spacing w:before="40" w:after="120"/>
      </w:pPr>
      <w:r>
        <w:rPr>
          <w:b/>
          <w:i w:val="0"/>
          <w:color w:val="2F3F9E"/>
          <w:sz w:val="20"/>
        </w:rPr>
        <w:t xml:space="preserve">Azonosító  —  </w:t>
      </w:r>
      <w:r>
        <w:rPr>
          <w:b w:val="0"/>
          <w:i w:val="0"/>
          <w:sz w:val="20"/>
        </w:rPr>
        <w:t>Egy adott dolog (például egy lámpatest vagy épület) állandó neve, amelyet minden rendszer ugyanazon dolog megjelölésére használ.</w:t>
      </w:r>
    </w:p>
    <w:p>
      <w:pPr>
        <w:spacing w:before="40" w:after="120"/>
      </w:pPr>
      <w:r>
        <w:rPr>
          <w:b/>
          <w:i w:val="0"/>
          <w:color w:val="2F3F9E"/>
          <w:sz w:val="20"/>
        </w:rPr>
        <w:t xml:space="preserve">Interoperabilitás  —  </w:t>
      </w:r>
      <w:r>
        <w:rPr>
          <w:b w:val="0"/>
          <w:i w:val="0"/>
          <w:sz w:val="20"/>
        </w:rPr>
        <w:t>Különböző szállítóktól származó rendszerek azon képessége, hogy adatokat cseréljenek és egymás adatait kölcsönösen értelmezzék.</w:t>
      </w:r>
    </w:p>
    <w:p>
      <w:pPr>
        <w:spacing w:before="40" w:after="120"/>
      </w:pPr>
      <w:r>
        <w:rPr>
          <w:b/>
          <w:i w:val="0"/>
          <w:color w:val="2F3F9E"/>
          <w:sz w:val="20"/>
        </w:rPr>
        <w:t xml:space="preserve">IRI  —  </w:t>
      </w:r>
      <w:r>
        <w:rPr>
          <w:b w:val="0"/>
          <w:i w:val="0"/>
          <w:sz w:val="20"/>
        </w:rPr>
        <w:t>A webes azonosítók nemzetközi formája (hasonló az URL-hez, de nem ASCII karaktereket is megenged). A MIM1 ezzel azonosítja az entitásokat.</w:t>
      </w:r>
    </w:p>
    <w:p>
      <w:pPr>
        <w:spacing w:before="40" w:after="120"/>
      </w:pPr>
      <w:r>
        <w:rPr>
          <w:b/>
          <w:i w:val="0"/>
          <w:color w:val="2F3F9E"/>
          <w:sz w:val="20"/>
        </w:rPr>
        <w:t xml:space="preserve">LDT  —  </w:t>
      </w:r>
      <w:r>
        <w:rPr>
          <w:b w:val="0"/>
          <w:i w:val="0"/>
          <w:sz w:val="20"/>
        </w:rPr>
        <w:t>Helyi digitális ikerpár (Local Digital Twin): egy város vagy városrész digitális mása, adatokhoz és szimulációkhoz kapcsolva.</w:t>
      </w:r>
    </w:p>
    <w:p>
      <w:pPr>
        <w:spacing w:before="40" w:after="120"/>
      </w:pPr>
      <w:r>
        <w:rPr>
          <w:b/>
          <w:i w:val="0"/>
          <w:color w:val="2F3F9E"/>
          <w:sz w:val="20"/>
        </w:rPr>
        <w:t xml:space="preserve">Géppel olvasható  —  </w:t>
      </w:r>
      <w:r>
        <w:rPr>
          <w:b w:val="0"/>
          <w:i w:val="0"/>
          <w:sz w:val="20"/>
        </w:rPr>
        <w:t>Olyan strukturált formátum, amelyet szoftver közvetlenül fel tud dolgozni (JSON, CSV) — egy táblázatot tartalmazó PDF nem ilyen.</w:t>
      </w:r>
    </w:p>
    <w:p>
      <w:pPr>
        <w:spacing w:before="40" w:after="120"/>
      </w:pPr>
      <w:r>
        <w:rPr>
          <w:b/>
          <w:i w:val="0"/>
          <w:color w:val="2F3F9E"/>
          <w:sz w:val="20"/>
        </w:rPr>
        <w:t xml:space="preserve">Metaadat  —  </w:t>
      </w:r>
      <w:r>
        <w:rPr>
          <w:b w:val="0"/>
          <w:i w:val="0"/>
          <w:sz w:val="20"/>
        </w:rPr>
        <w:t>Adat az adatról: mit tartalmaz egy adatkészlet, ki biztosítja, mennyire friss, és milyen licenc vonatkozik rá.</w:t>
      </w:r>
    </w:p>
    <w:p>
      <w:pPr>
        <w:spacing w:before="40" w:after="120"/>
      </w:pPr>
      <w:r>
        <w:rPr>
          <w:b/>
          <w:i w:val="0"/>
          <w:color w:val="2F3F9E"/>
          <w:sz w:val="20"/>
        </w:rPr>
        <w:t xml:space="preserve">OAuth 2.0 / OIDC  —  </w:t>
      </w:r>
      <w:r>
        <w:rPr>
          <w:b w:val="0"/>
          <w:i w:val="0"/>
          <w:sz w:val="20"/>
        </w:rPr>
        <w:t>Nyílt szabványok a bejelentkezéshez és a hozzáférés megadásához. Az OpenID Connect (OIDC) személyazonosság-ellenőrzéssel egészíti ki az OAuth 2.0 keretrendszert.</w:t>
      </w:r>
    </w:p>
    <w:p>
      <w:pPr>
        <w:spacing w:before="40" w:after="120"/>
      </w:pPr>
      <w:r>
        <w:rPr>
          <w:b/>
          <w:i w:val="0"/>
          <w:color w:val="2F3F9E"/>
          <w:sz w:val="20"/>
        </w:rPr>
        <w:t xml:space="preserve">OGC  —  </w:t>
      </w:r>
      <w:r>
        <w:rPr>
          <w:b w:val="0"/>
          <w:i w:val="0"/>
          <w:sz w:val="20"/>
        </w:rPr>
        <w:t>Open Geospatial Consortium: a térinformatikai adatokra és szolgáltatásokra vonatkozó szabványokat kiadó szervezet (OGC API, WFS, SensorThings).</w:t>
      </w:r>
    </w:p>
    <w:p>
      <w:pPr>
        <w:spacing w:before="40" w:after="120"/>
      </w:pPr>
      <w:r>
        <w:rPr>
          <w:b/>
          <w:i w:val="0"/>
          <w:color w:val="2F3F9E"/>
          <w:sz w:val="20"/>
        </w:rPr>
        <w:t xml:space="preserve">Nyílt szabvány  —  </w:t>
      </w:r>
      <w:r>
        <w:rPr>
          <w:b w:val="0"/>
          <w:i w:val="0"/>
          <w:sz w:val="20"/>
        </w:rPr>
        <w:t>Olyan műszaki szabály, amelyet bárki díjmentesen és külön engedély nélkül megismerhet és megvalósíthat.</w:t>
      </w:r>
    </w:p>
    <w:p>
      <w:pPr>
        <w:spacing w:before="40" w:after="120"/>
      </w:pPr>
      <w:r>
        <w:rPr>
          <w:b/>
          <w:i w:val="0"/>
          <w:color w:val="2F3F9E"/>
          <w:sz w:val="20"/>
        </w:rPr>
        <w:t xml:space="preserve">OpenAPI  —  </w:t>
      </w:r>
      <w:r>
        <w:rPr>
          <w:b w:val="0"/>
          <w:i w:val="0"/>
          <w:sz w:val="20"/>
        </w:rPr>
        <w:t>Nyílt formátum webes API-k géppel olvasható leírására: címek, paraméterek, válaszok.</w:t>
      </w:r>
    </w:p>
    <w:p>
      <w:pPr>
        <w:spacing w:before="40" w:after="120"/>
      </w:pPr>
      <w:r>
        <w:rPr>
          <w:b/>
          <w:i w:val="0"/>
          <w:color w:val="2F3F9E"/>
          <w:sz w:val="20"/>
        </w:rPr>
        <w:t xml:space="preserve">Szerializáció  —  </w:t>
      </w:r>
      <w:r>
        <w:rPr>
          <w:b w:val="0"/>
          <w:i w:val="0"/>
          <w:sz w:val="20"/>
        </w:rPr>
        <w:t>Az adatok konkrét formátumban (pl. JSON, XML) történő rögzítése a tárolás vagy hálózati továbbítás céljából.</w:t>
      </w:r>
    </w:p>
    <w:p>
      <w:pPr>
        <w:spacing w:before="40" w:after="120"/>
      </w:pPr>
      <w:r>
        <w:rPr>
          <w:b/>
          <w:i w:val="0"/>
          <w:color w:val="2F3F9E"/>
          <w:sz w:val="20"/>
        </w:rPr>
        <w:t xml:space="preserve">TLS  —  </w:t>
      </w:r>
      <w:r>
        <w:rPr>
          <w:b w:val="0"/>
          <w:i w:val="0"/>
          <w:sz w:val="20"/>
        </w:rPr>
        <w:t>A hálózaton továbbított adatokat titkosító protokoll (a HTTPS alapja).</w:t>
      </w:r>
    </w:p>
    <w:p>
      <w:pPr>
        <w:spacing w:before="40" w:after="120"/>
      </w:pPr>
      <w:r>
        <w:rPr>
          <w:b/>
          <w:i w:val="0"/>
          <w:color w:val="2F3F9E"/>
          <w:sz w:val="20"/>
        </w:rPr>
        <w:t xml:space="preserve">Szállítói függőség (vendor lock-in)  —  </w:t>
      </w:r>
      <w:r>
        <w:rPr>
          <w:b w:val="0"/>
          <w:i w:val="0"/>
          <w:sz w:val="20"/>
        </w:rPr>
        <w:t>Olyan állapot, amelyben az adatok, a formátumok vagy a díjak költségei miatt a szállítóváltás gyakorlatilag lehetetlen.</w:t>
      </w:r>
    </w:p>
    <w:p>
      <w:pPr>
        <w:spacing w:before="40" w:after="120"/>
      </w:pPr>
      <w:r>
        <w:rPr>
          <w:b/>
          <w:i w:val="0"/>
          <w:color w:val="2F3F9E"/>
          <w:sz w:val="20"/>
        </w:rPr>
        <w:t xml:space="preserve">Webhook / MQTT  —  </w:t>
      </w:r>
      <w:r>
        <w:rPr>
          <w:b w:val="0"/>
          <w:i w:val="0"/>
          <w:sz w:val="20"/>
        </w:rPr>
        <w:t>Két módszer arra, hogy a rendszer közvetlenül jelezze a változást: a webhook meghívja a megadott címet, az MQTT pedig üzeneteket küld a feliratkozóknak.</w:t>
      </w:r>
    </w:p>
    <w:p>
      <w:pPr>
        <w:spacing w:before="240" w:after="120"/>
      </w:pPr>
      <w:r>
        <w:rPr>
          <w:b/>
          <w:i w:val="0"/>
          <w:color w:val="0B7485"/>
          <w:sz w:val="24"/>
        </w:rPr>
        <w:t>További információk</w:t>
      </w:r>
    </w:p>
    <w:p>
      <w:pPr>
        <w:spacing w:before="40" w:after="100"/>
      </w:pPr>
      <w:hyperlink r:id="rId20">
        <w:r>
          <w:rPr>
            <w:color w:val="2F3F9E"/>
            <w:u w:val="single"/>
            <w:sz w:val="20"/>
          </w:rPr>
          <w:t>mims.oascities.org</w:t>
        </w:r>
      </w:hyperlink>
      <w:r>
        <w:rPr>
          <w:b w:val="0"/>
          <w:i w:val="0"/>
          <w:sz w:val="20"/>
        </w:rPr>
        <w:t xml:space="preserve">  —  A teljes MIMs Plus specifikáció az OASC gondozásában.</w:t>
      </w:r>
    </w:p>
    <w:p>
      <w:pPr>
        <w:spacing w:before="40" w:after="100"/>
      </w:pPr>
      <w:hyperlink r:id="rId21">
        <w:r>
          <w:rPr>
            <w:color w:val="2F3F9E"/>
            <w:u w:val="single"/>
            <w:sz w:val="20"/>
          </w:rPr>
          <w:t>living-in.eu</w:t>
        </w:r>
      </w:hyperlink>
      <w:r>
        <w:rPr>
          <w:b w:val="0"/>
          <w:i w:val="0"/>
          <w:sz w:val="20"/>
        </w:rPr>
        <w:t xml:space="preserve">  —  Az európai mozgalom a városok digitális átalakításáért — nyilatkozat és MIMs Plus háttér.</w:t>
      </w:r>
    </w:p>
    <w:p>
      <w:pPr>
        <w:spacing w:before="40" w:after="100"/>
      </w:pPr>
      <w:hyperlink r:id="rId22">
        <w:r>
          <w:rPr>
            <w:color w:val="2F3F9E"/>
            <w:u w:val="single"/>
            <w:sz w:val="20"/>
          </w:rPr>
          <w:t>smartdatamodels.org</w:t>
        </w:r>
      </w:hyperlink>
      <w:r>
        <w:rPr>
          <w:b w:val="0"/>
          <w:i w:val="0"/>
          <w:sz w:val="20"/>
        </w:rPr>
        <w:t xml:space="preserve">  —  A szabványos adatmodellek nyílt könyvtára (FIWARE, TM Forum, IUDX, OASC).</w:t>
      </w:r>
    </w:p>
    <w:p>
      <w:pPr>
        <w:spacing w:before="40" w:after="100"/>
      </w:pPr>
      <w:hyperlink r:id="rId23">
        <w:r>
          <w:rPr>
            <w:color w:val="2F3F9E"/>
            <w:u w:val="single"/>
            <w:sz w:val="20"/>
          </w:rPr>
          <w:t>oascities.org/academy</w:t>
        </w:r>
      </w:hyperlink>
      <w:r>
        <w:rPr>
          <w:b w:val="0"/>
          <w:i w:val="0"/>
          <w:sz w:val="20"/>
        </w:rPr>
        <w:t xml:space="preserve">  —  CITYxCITY Academy — képzések önkormányzati munkatársaknak a városoktól.</w:t>
      </w:r>
    </w:p>
    <w:p>
      <w:r>
        <w:br w:type="page"/>
      </w:r>
    </w:p>
    <w:p>
      <w:pPr>
        <w:spacing w:before="480" w:after="80"/>
        <w:jc w:val="center"/>
      </w:pPr>
      <w:r>
        <w:rPr>
          <w:b w:val="0"/>
          <w:i w:val="0"/>
          <w:color w:val="646B82"/>
          <w:sz w:val="18"/>
        </w:rPr>
        <w:t>Készült az Open &amp; Agile Smart Cities MIMs Plus 9.0 specifikációja (mims.oascities.org) alapján. A specifikáció tartalma © OASC. Ez a füzet egy független, közérthető útmutató az önkormányzati közbeszerzésekhez; kétség esetén a specifikáció az irányadó.</w:t>
      </w:r>
    </w:p>
    <w:p>
      <w:pPr>
        <w:spacing w:before="40" w:after="80"/>
        <w:jc w:val="center"/>
      </w:pPr>
      <w:r>
        <w:rPr>
          <w:b w:val="0"/>
          <w:i w:val="0"/>
          <w:color w:val="0B7485"/>
          <w:sz w:val="18"/>
        </w:rPr>
        <w:t>Nyílt eszközökkel készült. Szabadon újrafelhasználható és adaptálható a városa számára.</w:t>
      </w:r>
    </w:p>
    <w:p>
      <w:pPr>
        <w:spacing w:before="40" w:after="80"/>
        <w:jc w:val="center"/>
      </w:pPr>
      <w:r>
        <w:rPr>
          <w:b w:val="0"/>
          <w:i w:val="0"/>
          <w:color w:val="646B82"/>
          <w:sz w:val="17"/>
        </w:rPr>
        <w:t>A füzet szerzője: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Minimális interoperabilitási mechanizmusok (MIM-ek)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Minimális interoperabilitási mechanizmusok (MIM-ek)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