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Vähimad koostalitlusmehhanismid (MIMid)</w:t>
      </w:r>
    </w:p>
    <w:p>
      <w:pPr>
        <w:spacing w:before="40" w:after="320"/>
        <w:jc w:val="center"/>
      </w:pPr>
      <w:r>
        <w:rPr>
          <w:b/>
          <w:i w:val="0"/>
          <w:color w:val="0B7485"/>
          <w:sz w:val="30"/>
        </w:rPr>
        <w:t>Mida määratleda hankedokumentides, et andmed jääksid linna kontrolli alla</w:t>
      </w:r>
    </w:p>
    <w:p>
      <w:pPr>
        <w:spacing w:before="40" w:after="120"/>
        <w:jc w:val="center"/>
      </w:pPr>
      <w:r>
        <w:rPr>
          <w:b w:val="0"/>
          <w:i w:val="0"/>
          <w:color w:val="646B82"/>
          <w:sz w:val="22"/>
        </w:rPr>
        <w:t>Spetsifikatsioon: OASC-i MIMs Plus 9.0</w:t>
      </w:r>
    </w:p>
    <w:p>
      <w:pPr>
        <w:spacing w:before="40" w:after="80"/>
        <w:jc w:val="center"/>
      </w:pPr>
      <w:r>
        <w:rPr>
          <w:b w:val="0"/>
          <w:i w:val="0"/>
          <w:color w:val="646B82"/>
          <w:sz w:val="18"/>
        </w:rPr>
        <w:t>Euroopa omavalitsuste hankeametnikele, projektijuhtidele ja IT-juhtidele</w:t>
      </w:r>
    </w:p>
    <w:p>
      <w:pPr>
        <w:spacing w:before="40" w:after="80"/>
        <w:jc w:val="center"/>
      </w:pPr>
      <w:r>
        <w:rPr>
          <w:b w:val="0"/>
          <w:i w:val="0"/>
          <w:color w:val="646B82"/>
          <w:sz w:val="17"/>
        </w:rPr>
        <w:t>Teatmiku autor: Marek Mráz</w:t>
      </w:r>
    </w:p>
    <w:p>
      <w:r>
        <w:br w:type="page"/>
      </w:r>
    </w:p>
    <w:p>
      <w:pPr>
        <w:spacing w:before="120" w:after="160"/>
      </w:pPr>
      <w:r>
        <w:rPr>
          <w:b/>
          <w:i w:val="0"/>
          <w:color w:val="2F3F9E"/>
          <w:sz w:val="36"/>
        </w:rPr>
        <w:t>Selle teatmiku eesmärk</w:t>
      </w:r>
    </w:p>
    <w:p>
      <w:pPr>
        <w:spacing w:before="40" w:after="160"/>
      </w:pPr>
      <w:r>
        <w:rPr>
          <w:b w:val="0"/>
          <w:i w:val="0"/>
          <w:sz w:val="21"/>
        </w:rPr>
        <w:t>Igal aastal ostavad linnad tarkvara: parkimissüsteeme, sensorplatvorme, kaardiportaale, digitaalseid kaksikuid. Liiga sageli jäävad süsteemide kogutud andmed nendesse lõksu. Lepingu lõppedes lahkuvad maksumaksja raha eest hangitud andmed koos tarnijaga või jäävad vormingusse, mida keegi teine ei suuda lugeda.</w:t>
      </w:r>
    </w:p>
    <w:p>
      <w:pPr>
        <w:spacing w:before="40" w:after="160"/>
      </w:pPr>
      <w:r>
        <w:rPr>
          <w:b w:val="0"/>
          <w:i w:val="0"/>
          <w:sz w:val="21"/>
        </w:rPr>
        <w:t>See ei pea nii olema. Vähimad koostalitlusmehhanismid (MIMid), mida haldab Open &amp; Agile Smart Cities (OASC) ja toetab Euroopa liikumine living-in.eu, kirjeldavad tehnilisi miinimumnõudeid, mis hoiavad teie andmed avatuna, korduvkasutatavana ja tarnijaneutraalsena. Need on teadlikult väikesed: mitte mahukas arhitektuur, vaid üksikud tingimused, mis peavad süsteemide andmevahetuseks täidetud olema.</w:t>
      </w:r>
    </w:p>
    <w:p>
      <w:pPr>
        <w:spacing w:before="40" w:after="160"/>
      </w:pPr>
      <w:r>
        <w:rPr>
          <w:b w:val="0"/>
          <w:i w:val="0"/>
          <w:sz w:val="21"/>
        </w:rPr>
        <w:t>Selle teatmiku kasutamiseks ei ole vaja tehnilist tausta. Iga kontroll-leht teisendab ühe MIMi selgesõnalisteks kontroll-lehe punktideks, mida saate hankesse kopeerida, lisades põhjenduse, miks igaüks neist teid kaitseb. Vahetult pärast kontroll-lehte leiate selle MIMi kõik nõuded sõna-sõnalt, et teie tehnilised kolleegid ja pakkujad saaksid detaile kontrollida.</w:t>
      </w:r>
    </w:p>
    <w:p>
      <w:pPr>
        <w:spacing w:before="40" w:after="160"/>
      </w:pPr>
      <w:r>
        <w:rPr>
          <w:b w:val="0"/>
          <w:i w:val="0"/>
          <w:sz w:val="21"/>
        </w:rPr>
        <w:t>Linnad, kes nõuavad MIMe, ostavad korra ja taaskasutavad mitu korda: õhukvaliteedi andmed toidavad kooli armatuurlauda, tänavavalgustuse register energiaplaani ja järgmine tarnija jätkab sealt, kus eelmine pooleli jäi. See ongi koostalitlusvõime praktikas — ning seda oodatakse üha enam ka ELi rahastatud projektides.</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“Vähimad koostalitlusmehhanismid (MIMid) võimaldavad andmete, süsteemide ja teenuste minimaalset, kuid piisavat koostalitlusvõimet just nutikate linnade lahenduste kontekstis.</w:t>
              <w:br/>
              <w:t>Käesoleva dokumendi sihtrühmaks on:</w:t>
              <w:br/>
              <w:t>1. Lahenduste pakkujad, kes soovivad tagada oma lahenduste koostalitlusvõime teistega ning sujuva andmevahetuse nutikate linnade ja kogukondade kontekstis.</w:t>
              <w:br/>
              <w:t>2. Hankijad, kes soovivad hankida tulevikukindlaid lahendusi, mis võimaldavad kulutõhusat integreerimist nutikate linnade ja kogukondade olemasolevasse info- ja kommunikatsioonitehnoloogia (IKT) arhitektuuri.”</w:t>
            </w:r>
          </w:p>
        </w:tc>
      </w:tr>
    </w:tbl>
    <w:p>
      <w:pPr>
        <w:spacing w:before="240" w:after="60"/>
      </w:pPr>
      <w:r>
        <w:rPr>
          <w:b/>
          <w:i w:val="0"/>
          <w:color w:val="2F3F9E"/>
          <w:sz w:val="22"/>
        </w:rPr>
        <w:t>Kuidas MIMid sobituvad ELi õigusega</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MIMid on tehniline kirjeldus, mitte seadus. Need liiguvad samas suunas kui avalikele andmetele ja digiteenustele juba kohalduvad ELi eeskirjad:</w:t>
            </w:r>
          </w:p>
          <w:p>
            <w:pPr>
              <w:spacing w:before="20" w:after="60"/>
            </w:pPr>
            <w:r>
              <w:rPr>
                <w:b/>
                <w:i w:val="0"/>
                <w:color w:val="2F3F9E"/>
                <w:sz w:val="19"/>
              </w:rPr>
              <w:t>Riigihangete direktiiv</w:t>
            </w:r>
            <w:r>
              <w:rPr>
                <w:b w:val="0"/>
                <w:i w:val="0"/>
                <w:color w:val="646B82"/>
                <w:sz w:val="17"/>
              </w:rPr>
              <w:t xml:space="preserve"> (Direktiiv 2014/24/EL, artikkel 42): </w:t>
            </w:r>
            <w:r>
              <w:rPr>
                <w:b w:val="0"/>
                <w:i w:val="0"/>
                <w:sz w:val="19"/>
              </w:rPr>
              <w:t>tehnilised kirjeldused võivad viidata standarditele, alati märkega „või sellega samaväärne”; reeglina ei tohi nimetada kindlat marki ega toodet.</w:t>
            </w:r>
          </w:p>
          <w:p>
            <w:pPr>
              <w:spacing w:before="20" w:after="60"/>
            </w:pPr>
            <w:r>
              <w:rPr>
                <w:b/>
                <w:i w:val="0"/>
                <w:color w:val="2F3F9E"/>
                <w:sz w:val="19"/>
              </w:rPr>
              <w:t>Andmemäärus</w:t>
            </w:r>
            <w:r>
              <w:rPr>
                <w:b w:val="0"/>
                <w:i w:val="0"/>
                <w:color w:val="646B82"/>
                <w:sz w:val="17"/>
              </w:rPr>
              <w:t xml:space="preserve"> (Määrus (EL) 2023/2854): </w:t>
            </w:r>
            <w:r>
              <w:rPr>
                <w:b w:val="0"/>
                <w:i w:val="0"/>
                <w:sz w:val="19"/>
              </w:rPr>
              <w:t>juurdepääs ühendatud toodete andmetele ja pilveteenuse pakkujate vahetamine ilma lukustatuseta.</w:t>
            </w:r>
          </w:p>
          <w:p>
            <w:pPr>
              <w:spacing w:before="20" w:after="60"/>
            </w:pPr>
            <w:r>
              <w:rPr>
                <w:b/>
                <w:i w:val="0"/>
                <w:color w:val="2F3F9E"/>
                <w:sz w:val="19"/>
              </w:rPr>
              <w:t>Euroopa koostalitlusvõime määrus</w:t>
            </w:r>
            <w:r>
              <w:rPr>
                <w:b w:val="0"/>
                <w:i w:val="0"/>
                <w:color w:val="646B82"/>
                <w:sz w:val="17"/>
              </w:rPr>
              <w:t xml:space="preserve"> (Määrus (EL) 2024/903): </w:t>
            </w:r>
            <w:r>
              <w:rPr>
                <w:b w:val="0"/>
                <w:i w:val="0"/>
                <w:sz w:val="19"/>
              </w:rPr>
              <w:t>piiriüleste digitaalsete avalike teenuste koostalitlusvõime hindamine ja avatud lahenduste korduvkasutamine.</w:t>
            </w:r>
          </w:p>
          <w:p>
            <w:pPr>
              <w:spacing w:before="20" w:after="60"/>
            </w:pPr>
            <w:r>
              <w:rPr>
                <w:b/>
                <w:i w:val="0"/>
                <w:color w:val="2F3F9E"/>
                <w:sz w:val="19"/>
              </w:rPr>
              <w:t>Avaandmete direktiiv</w:t>
            </w:r>
            <w:r>
              <w:rPr>
                <w:b w:val="0"/>
                <w:i w:val="0"/>
                <w:color w:val="646B82"/>
                <w:sz w:val="17"/>
              </w:rPr>
              <w:t xml:space="preserve"> (Direktiiv (EL) 2019/1024): </w:t>
            </w:r>
            <w:r>
              <w:rPr>
                <w:b w:val="0"/>
                <w:i w:val="0"/>
                <w:sz w:val="19"/>
              </w:rPr>
              <w:t>suure väärtusega andmestikud avaldatakse tasuta, masinloetavalt ja API-de kaudu.</w:t>
            </w:r>
          </w:p>
          <w:p>
            <w:pPr>
              <w:spacing w:before="20" w:after="60"/>
            </w:pPr>
            <w:r>
              <w:rPr>
                <w:b/>
                <w:i w:val="0"/>
                <w:color w:val="2F3F9E"/>
                <w:sz w:val="19"/>
              </w:rPr>
              <w:t>NIS2 direktiiv</w:t>
            </w:r>
            <w:r>
              <w:rPr>
                <w:b w:val="0"/>
                <w:i w:val="0"/>
                <w:color w:val="646B82"/>
                <w:sz w:val="17"/>
              </w:rPr>
              <w:t xml:space="preserve"> (Direktiiv (EL) 2022/2555): </w:t>
            </w:r>
            <w:r>
              <w:rPr>
                <w:b w:val="0"/>
                <w:i w:val="0"/>
                <w:sz w:val="19"/>
              </w:rPr>
              <w:t>küberturvalisuse baasnõuded; siseriiklik õigus määrab selle kohaldamisala kohalikele omavalitsustele.</w:t>
            </w:r>
          </w:p>
          <w:p>
            <w:pPr>
              <w:spacing w:before="20" w:after="60"/>
            </w:pPr>
            <w:r>
              <w:rPr>
                <w:b/>
                <w:i w:val="0"/>
                <w:color w:val="2F3F9E"/>
                <w:sz w:val="19"/>
              </w:rPr>
              <w:t>IKÜM (GDPR)</w:t>
            </w:r>
            <w:r>
              <w:rPr>
                <w:b w:val="0"/>
                <w:i w:val="0"/>
                <w:color w:val="646B82"/>
                <w:sz w:val="17"/>
              </w:rPr>
              <w:t xml:space="preserve"> (Määrus (EL) 2016/679): </w:t>
            </w:r>
            <w:r>
              <w:rPr>
                <w:b w:val="0"/>
                <w:i w:val="0"/>
                <w:sz w:val="19"/>
              </w:rPr>
              <w:t>isikuandmed linnasüsteemides (parkimine, kaamerad, mobiilsus).</w:t>
            </w:r>
          </w:p>
          <w:p>
            <w:pPr>
              <w:spacing w:before="20" w:after="60"/>
            </w:pPr>
            <w:r>
              <w:rPr>
                <w:b/>
                <w:i w:val="0"/>
                <w:color w:val="2F3F9E"/>
                <w:sz w:val="19"/>
              </w:rPr>
              <w:t>Tehisintellekti määrus</w:t>
            </w:r>
            <w:r>
              <w:rPr>
                <w:b w:val="0"/>
                <w:i w:val="0"/>
                <w:color w:val="646B82"/>
                <w:sz w:val="17"/>
              </w:rPr>
              <w:t xml:space="preserve"> (Määrus (EL) 2024/1689): </w:t>
            </w:r>
            <w:r>
              <w:rPr>
                <w:b w:val="0"/>
                <w:i w:val="0"/>
                <w:sz w:val="19"/>
              </w:rPr>
              <w:t>reeglid tehisintellektisüsteemidele; asjakohane digitaalsete kaksikute tehisintellektimudelite jaoks.</w:t>
            </w:r>
          </w:p>
          <w:p>
            <w:pPr>
              <w:spacing w:before="20" w:after="60"/>
            </w:pPr>
            <w:r>
              <w:rPr>
                <w:b w:val="0"/>
                <w:i/>
                <w:color w:val="646B82"/>
                <w:sz w:val="17"/>
              </w:rPr>
              <w:t>Üksnes orientiiriks. Kontrollige, kuidas teie riik on iga õigusakti üle võtnud.</w:t>
            </w:r>
          </w:p>
        </w:tc>
      </w:tr>
    </w:tbl>
    <w:p>
      <w:r>
        <w:br w:type="page"/>
      </w:r>
    </w:p>
    <w:p>
      <w:pPr>
        <w:spacing w:before="120" w:after="160"/>
      </w:pPr>
      <w:r>
        <w:rPr>
          <w:b/>
          <w:i w:val="0"/>
          <w:color w:val="2F3F9E"/>
          <w:sz w:val="36"/>
        </w:rPr>
        <w:t>Kuidas seda teatmikku kasutada</w:t>
      </w:r>
    </w:p>
    <w:p>
      <w:pPr>
        <w:spacing w:before="40" w:after="120"/>
      </w:pPr>
      <w:r>
        <w:rPr>
          <w:b/>
          <w:i w:val="0"/>
          <w:color w:val="2F3F9E"/>
          <w:sz w:val="22"/>
        </w:rPr>
        <w:t xml:space="preserve">1. Ettevalmistus  </w:t>
      </w:r>
      <w:r>
        <w:rPr>
          <w:b w:val="0"/>
          <w:i w:val="0"/>
          <w:sz w:val="20"/>
        </w:rPr>
        <w:t>Lugege läbi seitse kontroll-lehte. Märkige need, mis kohalduvad teie ostule. Enamik hankeid vajab MIM0, MIM1, MIM2 ja MIM6; lisage MIM3, kui andmeid jagatakse kolmandate isikutega või andmeportaalis, MIM7 kõige puhul, mis kasutab kaarti, ja MIM8 digitaalsete kaksikute jaoks.</w:t>
      </w:r>
    </w:p>
    <w:p>
      <w:pPr>
        <w:spacing w:before="40" w:after="120"/>
      </w:pPr>
      <w:r>
        <w:rPr>
          <w:b/>
          <w:i w:val="0"/>
          <w:color w:val="2F3F9E"/>
          <w:sz w:val="22"/>
        </w:rPr>
        <w:t xml:space="preserve">2. Hange  </w:t>
      </w:r>
      <w:r>
        <w:rPr>
          <w:b w:val="0"/>
          <w:i w:val="0"/>
          <w:sz w:val="20"/>
        </w:rPr>
        <w:t>Kopeerige märgitud kontroll-lehe punktid oma nõuetesse. Iga punkt on sõnastatud kopeeritava lausena. Lisage läbivad lepingutingimused: need maksavad vähe ja hoiavad ära lukustatuse.</w:t>
      </w:r>
    </w:p>
    <w:p>
      <w:pPr>
        <w:spacing w:before="40" w:after="120"/>
      </w:pPr>
      <w:r>
        <w:rPr>
          <w:b/>
          <w:i w:val="0"/>
          <w:color w:val="2F3F9E"/>
          <w:sz w:val="22"/>
        </w:rPr>
        <w:t xml:space="preserve">3. Hindamine  </w:t>
      </w:r>
      <w:r>
        <w:rPr>
          <w:b w:val="0"/>
          <w:i w:val="0"/>
          <w:sz w:val="20"/>
        </w:rPr>
        <w:t>Paluge pakkujatel näidata, mitte lubada (vt samanimelist klauslit). Kontrollige vastavust pakkuja täidetud vastavustabeli alusel.</w:t>
      </w:r>
    </w:p>
    <w:p>
      <w:pPr>
        <w:spacing w:before="40" w:after="120"/>
      </w:pPr>
      <w:r>
        <w:rPr>
          <w:b/>
          <w:i w:val="0"/>
          <w:color w:val="2F3F9E"/>
          <w:sz w:val="22"/>
        </w:rPr>
        <w:t xml:space="preserve">4. Üleandmine  </w:t>
      </w:r>
      <w:r>
        <w:rPr>
          <w:b w:val="0"/>
          <w:i w:val="0"/>
          <w:sz w:val="20"/>
        </w:rPr>
        <w:t>Vastuvõtmisel kontrollige üle iga märgitud punkt. Nõue, mida üleandmisel ei testita, polnud kunagi päriselt nõue.</w:t>
      </w:r>
    </w:p>
    <w:p>
      <w:pPr>
        <w:spacing w:before="200" w:after="80"/>
      </w:pPr>
      <w:r>
        <w:rPr>
          <w:b/>
          <w:i w:val="0"/>
          <w:color w:val="0B7485"/>
          <w:sz w:val="22"/>
        </w:rPr>
        <w:t>Spetsifikatsiooni tsitaatide lugemine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PEAB, PEAVAD (SHALL / MUST)</w:t>
            </w:r>
            <w:r>
              <w:rPr>
                <w:b w:val="0"/>
                <w:i w:val="0"/>
                <w:sz w:val="19"/>
              </w:rPr>
              <w:t xml:space="preserve">  kohustuslik. Süsteem ei vasta nõuetele ilma selleta.</w:t>
            </w:r>
          </w:p>
          <w:p>
            <w:pPr>
              <w:spacing w:before="20" w:after="60"/>
            </w:pPr>
            <w:r>
              <w:rPr>
                <w:b/>
                <w:i w:val="0"/>
                <w:color w:val="2F3F9E"/>
                <w:sz w:val="19"/>
              </w:rPr>
              <w:t xml:space="preserve">•  </w:t>
            </w:r>
            <w:r>
              <w:rPr>
                <w:b/>
                <w:i w:val="0"/>
                <w:color w:val="2F3F9E"/>
                <w:sz w:val="19"/>
                <w:highlight w:val="yellow"/>
              </w:rPr>
              <w:t>EI TOHI (MUST NOT)</w:t>
            </w:r>
            <w:r>
              <w:rPr>
                <w:b w:val="0"/>
                <w:i w:val="0"/>
                <w:sz w:val="19"/>
              </w:rPr>
              <w:t xml:space="preserve">  keelatud. Seda tegev süsteem ei vasta nõuetele.</w:t>
            </w:r>
          </w:p>
          <w:p>
            <w:pPr>
              <w:spacing w:before="20" w:after="60"/>
            </w:pPr>
            <w:r>
              <w:rPr>
                <w:b/>
                <w:i w:val="0"/>
                <w:color w:val="2F3F9E"/>
                <w:sz w:val="19"/>
              </w:rPr>
              <w:t xml:space="preserve">•  </w:t>
            </w:r>
            <w:r>
              <w:rPr>
                <w:b/>
                <w:i w:val="0"/>
                <w:color w:val="2F3F9E"/>
                <w:sz w:val="19"/>
                <w:highlight w:val="yellow"/>
              </w:rPr>
              <w:t>PEAKS, PEAKSID (SHOULD)</w:t>
            </w:r>
            <w:r>
              <w:rPr>
                <w:b w:val="0"/>
                <w:i w:val="0"/>
                <w:sz w:val="19"/>
              </w:rPr>
              <w:t xml:space="preserve">  tungivalt soovitatav. Kõrvalekalleteks on vaja mõjuvat kirjalikku põhjendust.</w:t>
            </w:r>
          </w:p>
          <w:p>
            <w:pPr>
              <w:spacing w:before="20" w:after="60"/>
            </w:pPr>
            <w:r>
              <w:rPr>
                <w:b/>
                <w:i w:val="0"/>
                <w:color w:val="2F3F9E"/>
                <w:sz w:val="19"/>
              </w:rPr>
              <w:t xml:space="preserve">•  </w:t>
            </w:r>
            <w:r>
              <w:rPr>
                <w:b/>
                <w:i w:val="0"/>
                <w:color w:val="2F3F9E"/>
                <w:sz w:val="19"/>
                <w:highlight w:val="yellow"/>
              </w:rPr>
              <w:t>VÕIB, VÕIVAD (MAY)</w:t>
            </w:r>
            <w:r>
              <w:rPr>
                <w:b w:val="0"/>
                <w:i w:val="0"/>
                <w:sz w:val="19"/>
              </w:rPr>
              <w:t xml:space="preserve">  valikuline. Hea lisa, kuid mitte kunagi nõutav.</w:t>
            </w:r>
          </w:p>
          <w:p>
            <w:pPr>
              <w:spacing w:before="20" w:after="60"/>
            </w:pPr>
            <w:r>
              <w:rPr>
                <w:b/>
                <w:i w:val="0"/>
                <w:color w:val="2F3F9E"/>
                <w:sz w:val="19"/>
              </w:rPr>
              <w:t xml:space="preserve">•  </w:t>
            </w:r>
            <w:r>
              <w:rPr>
                <w:b/>
                <w:i w:val="0"/>
                <w:color w:val="2F3F9E"/>
                <w:sz w:val="19"/>
                <w:highlight w:val="yellow"/>
              </w:rPr>
              <w:t>SAAB, SAAVAD (CAN)</w:t>
            </w:r>
            <w:r>
              <w:rPr>
                <w:b w:val="0"/>
                <w:i w:val="0"/>
                <w:sz w:val="19"/>
              </w:rPr>
              <w:t xml:space="preserve">  võimalus, mitte nõue. See näitab, mis on võimalik, ega kohusta kedagi.</w:t>
            </w:r>
          </w:p>
          <w:p>
            <w:pPr>
              <w:spacing w:before="20" w:after="60"/>
            </w:pPr>
            <w:r>
              <w:rPr>
                <w:b w:val="0"/>
                <w:i w:val="0"/>
                <w:sz w:val="19"/>
              </w:rPr>
              <w:t>Kontroll-lehe punktides esitatakse iga punkt nõudena ka seal, kus spetsifikatsioon ainult soovitab (peaks) või loetleb võimaliku mehhanismi. See on hankija otsus.</w:t>
            </w:r>
          </w:p>
        </w:tc>
      </w:tr>
    </w:tbl>
    <w:p>
      <w:pPr>
        <w:spacing w:before="160" w:after="80"/>
      </w:pPr>
      <w:r>
        <w:rPr>
          <w:b w:val="0"/>
          <w:i/>
          <w:color w:val="646B82"/>
          <w:sz w:val="18"/>
        </w:rPr>
        <w:t>Igal kontroll-lehe punktil on väike viide nagu → MIM0 R1.1. See on nõue standardis MIMs Plus 9.0, millest punkt pärineb; vahetult pärast kontroll-lehte leiate selle MIMi iga nõude sõna-sõnalt. Ainult MIM0 määratleb võtmesõnad: need kehtivad suurtähtedega kirjutatult (IETF RFC 2119 ja RFC 8174 konventsioon; CAN pärineb ISO/IEC direktiivide 2. osast). Teistes MIMides määratlust pole: MIM6 kirjutab SHALL enamasti suurtähtedega, MIM2, MIM3, MIM7 ja MIM8 kirjutavad shall, should ja must väiketähtedega ning MIM1 kasutab neid ainult mehhanismi kirjelduses (MUST NOT jaotises 3.1). Teatmik loeb väiketähtedega sõnu samamoodi; pakkuja võib neid tõlgendada leebemalt.</w:t>
      </w:r>
    </w:p>
    <w:p>
      <w:r>
        <w:br w:type="page"/>
      </w:r>
    </w:p>
    <w:p>
      <w:pPr>
        <w:spacing w:before="120" w:after="160"/>
      </w:pPr>
      <w:r>
        <w:rPr>
          <w:b/>
          <w:i w:val="0"/>
          <w:color w:val="2F3F9E"/>
          <w:sz w:val="36"/>
        </w:rPr>
        <w:t>Seitse MIMi ja kolm tööriista</w:t>
      </w:r>
    </w:p>
    <w:p>
      <w:pPr>
        <w:spacing w:before="40" w:after="200"/>
      </w:pPr>
      <w:r>
        <w:rPr>
          <w:b w:val="0"/>
          <w:i w:val="0"/>
          <w:sz w:val="21"/>
        </w:rPr>
        <w:t>Seitse väikest mehhanismi, üks eesmärk: andmed jäävad linna kontrolli alla ja süsteemid töötavad koos.</w:t>
      </w:r>
    </w:p>
    <w:p>
      <w:pPr>
        <w:spacing w:before="40" w:after="20"/>
      </w:pPr>
      <w:r>
        <w:rPr>
          <w:b/>
          <w:i w:val="0"/>
          <w:color w:val="2F3F9E"/>
          <w:sz w:val="20"/>
        </w:rPr>
        <w:t xml:space="preserve">MIM0  </w:t>
      </w:r>
      <w:r>
        <w:rPr>
          <w:b/>
          <w:i w:val="0"/>
          <w:sz w:val="20"/>
        </w:rPr>
        <w:t>Andmetele juurdepääs</w:t>
      </w:r>
    </w:p>
    <w:p>
      <w:pPr>
        <w:spacing w:before="40" w:after="20"/>
      </w:pPr>
      <w:r>
        <w:rPr>
          <w:b/>
          <w:i w:val="0"/>
          <w:color w:val="0B7485"/>
          <w:sz w:val="19"/>
        </w:rPr>
        <w:t xml:space="preserve">Kas saame oma andmed kätte?  </w:t>
      </w:r>
      <w:r>
        <w:rPr>
          <w:b w:val="0"/>
          <w:i w:val="0"/>
          <w:sz w:val="19"/>
        </w:rPr>
        <w:t>Andmed on kättesaadavad standardsete veebi-API-de kaudu masinloetavates vormingutes.</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Andmete seostamine</w:t>
      </w:r>
    </w:p>
    <w:p>
      <w:pPr>
        <w:spacing w:before="40" w:after="20"/>
      </w:pPr>
      <w:r>
        <w:rPr>
          <w:b/>
          <w:i w:val="0"/>
          <w:color w:val="0B7485"/>
          <w:sz w:val="19"/>
        </w:rPr>
        <w:t xml:space="preserve">Kas igal asjal on püsiv nimi?  </w:t>
      </w:r>
      <w:r>
        <w:rPr>
          <w:b w:val="0"/>
          <w:i w:val="0"/>
          <w:sz w:val="19"/>
        </w:rPr>
        <w:t>Igal sensoril, valgustil ja hoonel on kordumatu püsiv identifikaator.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Andmete esitamine</w:t>
      </w:r>
    </w:p>
    <w:p>
      <w:pPr>
        <w:spacing w:before="40" w:after="20"/>
      </w:pPr>
      <w:r>
        <w:rPr>
          <w:b/>
          <w:i w:val="0"/>
          <w:color w:val="0B7485"/>
          <w:sz w:val="19"/>
        </w:rPr>
        <w:t xml:space="preserve">Kas me räägime ühist keelt?  </w:t>
      </w:r>
      <w:r>
        <w:rPr>
          <w:b w:val="0"/>
          <w:i w:val="0"/>
          <w:sz w:val="19"/>
        </w:rPr>
        <w:t>Andmed järgivad standardseid dokumenteeritud andmemudeleid selgete mõõtühikutega.</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Andmevahetus</w:t>
      </w:r>
    </w:p>
    <w:p>
      <w:pPr>
        <w:spacing w:before="40" w:after="20"/>
      </w:pPr>
      <w:r>
        <w:rPr>
          <w:b/>
          <w:i w:val="0"/>
          <w:color w:val="0B7485"/>
          <w:sz w:val="19"/>
        </w:rPr>
        <w:t xml:space="preserve">Kas saame jagada selgetel tingimustel?  </w:t>
      </w:r>
      <w:r>
        <w:rPr>
          <w:b w:val="0"/>
          <w:i w:val="0"/>
          <w:sz w:val="19"/>
        </w:rPr>
        <w:t>Andmestikud on kataloogitud ning neid jagatakse tüüplitsentside ja selge juhtimismudeli alusel.</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Andmete turvamine</w:t>
      </w:r>
    </w:p>
    <w:p>
      <w:pPr>
        <w:spacing w:before="40" w:after="20"/>
      </w:pPr>
      <w:r>
        <w:rPr>
          <w:b/>
          <w:i w:val="0"/>
          <w:color w:val="0B7485"/>
          <w:sz w:val="19"/>
        </w:rPr>
        <w:t xml:space="preserve">Kas meie andmed on kaitstud?  </w:t>
      </w:r>
      <w:r>
        <w:rPr>
          <w:b w:val="0"/>
          <w:i w:val="0"/>
          <w:sz w:val="19"/>
        </w:rPr>
        <w:t>Krüpteeritud edastus, standardsed sisselogimised, rollipõhine juurdepääs, auditi logid.</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Ruumilised andmed</w:t>
      </w:r>
    </w:p>
    <w:p>
      <w:pPr>
        <w:spacing w:before="40" w:after="20"/>
      </w:pPr>
      <w:r>
        <w:rPr>
          <w:b/>
          <w:i w:val="0"/>
          <w:color w:val="0B7485"/>
          <w:sz w:val="19"/>
        </w:rPr>
        <w:t xml:space="preserve">Kas see töötab kaardil?  </w:t>
      </w:r>
      <w:r>
        <w:rPr>
          <w:b w:val="0"/>
          <w:i w:val="0"/>
          <w:sz w:val="19"/>
        </w:rPr>
        <w:t>Ruumilised andmed kasutavad OGC liideseid, avatud vorminguid ja määratud koordinaatsüsteeme.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Kohalikud digitaalsed kaksikud</w:t>
      </w:r>
    </w:p>
    <w:p>
      <w:pPr>
        <w:spacing w:before="40" w:after="20"/>
      </w:pPr>
      <w:r>
        <w:rPr>
          <w:b/>
          <w:i w:val="0"/>
          <w:color w:val="0B7485"/>
          <w:sz w:val="19"/>
        </w:rPr>
        <w:t xml:space="preserve">Kas meie digitaalne kaksik saab areneda?  </w:t>
      </w:r>
      <w:r>
        <w:rPr>
          <w:b w:val="0"/>
          <w:i w:val="0"/>
          <w:sz w:val="19"/>
        </w:rPr>
        <w:t>Kaksiku andmed, mudelid ja tulemused jäävad ligipääsetavaks, dokumenteerituks ja taaskasutatavaks.</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Tööriistad teie hanke jaoks</w:t>
      </w:r>
    </w:p>
    <w:p>
      <w:pPr>
        <w:spacing w:before="40" w:after="20"/>
      </w:pPr>
      <w:r>
        <w:rPr>
          <w:b/>
          <w:i w:val="0"/>
          <w:color w:val="2F3F9E"/>
          <w:sz w:val="20"/>
        </w:rPr>
        <w:t>Läbivad hanketingimused</w:t>
      </w:r>
    </w:p>
    <w:p>
      <w:pPr>
        <w:spacing w:before="40" w:after="120"/>
      </w:pPr>
      <w:r>
        <w:rPr>
          <w:b/>
          <w:i w:val="0"/>
          <w:color w:val="0B7485"/>
          <w:sz w:val="19"/>
        </w:rPr>
        <w:t xml:space="preserve">Mis kuulub igasse lepingusse?  </w:t>
      </w:r>
      <w:r>
        <w:rPr>
          <w:b w:val="0"/>
          <w:i w:val="0"/>
          <w:sz w:val="19"/>
        </w:rPr>
        <w:t>Väljumine, andmeõigused, API stabiilsus.</w:t>
      </w:r>
    </w:p>
    <w:p>
      <w:pPr>
        <w:spacing w:before="40" w:after="20"/>
      </w:pPr>
      <w:r>
        <w:rPr>
          <w:b/>
          <w:i w:val="0"/>
          <w:color w:val="2F3F9E"/>
          <w:sz w:val="20"/>
        </w:rPr>
        <w:t>Näide: õhukvaliteedi sensorid</w:t>
      </w:r>
    </w:p>
    <w:p>
      <w:pPr>
        <w:spacing w:before="40" w:after="120"/>
      </w:pPr>
      <w:r>
        <w:rPr>
          <w:b/>
          <w:i w:val="0"/>
          <w:color w:val="0B7485"/>
          <w:sz w:val="19"/>
        </w:rPr>
        <w:t xml:space="preserve">Kuidas see praktikas välja näeb?  </w:t>
      </w:r>
      <w:r>
        <w:rPr>
          <w:b w:val="0"/>
          <w:i w:val="0"/>
          <w:sz w:val="19"/>
        </w:rPr>
        <w:t>Mis kuhu läheb ja kopeeritavad näidistekstid.</w:t>
      </w:r>
    </w:p>
    <w:p>
      <w:pPr>
        <w:spacing w:before="40" w:after="20"/>
      </w:pPr>
      <w:r>
        <w:rPr>
          <w:b/>
          <w:i w:val="0"/>
          <w:color w:val="2F3F9E"/>
          <w:sz w:val="20"/>
        </w:rPr>
        <w:t>Vastavustabel</w:t>
      </w:r>
    </w:p>
    <w:p>
      <w:pPr>
        <w:spacing w:before="40" w:after="120"/>
      </w:pPr>
      <w:r>
        <w:rPr>
          <w:b/>
          <w:i w:val="0"/>
          <w:color w:val="0B7485"/>
          <w:sz w:val="19"/>
        </w:rPr>
        <w:t xml:space="preserve">Kuidas pakkuja seda tõendab?  </w:t>
      </w:r>
      <w:r>
        <w:rPr>
          <w:b w:val="0"/>
          <w:i w:val="0"/>
          <w:sz w:val="19"/>
        </w:rPr>
        <w:t>Pakkuja täidab, komisjon kontrollib, lisatakse lepingule.</w:t>
      </w:r>
    </w:p>
    <w:p>
      <w:pPr>
        <w:spacing w:before="80" w:after="80"/>
      </w:pPr>
      <w:r>
        <w:rPr>
          <w:b w:val="0"/>
          <w:i/>
          <w:color w:val="646B82"/>
          <w:sz w:val="18"/>
        </w:rPr>
        <w:t>Nummerdusest: MIMs Plus 9.0 määratleb seitse mehhanismi numbritega 0, 1, 2, 3, 6, 7 ja 8. MIM4 (isikuandmed) ja MIM5 (õiglane tehisintellekt) kuuluvad varasemate OASC-i versioonide juurde ega ole osa versioonist 9.0. Sellest teatmikust pole midagi puudu.</w:t>
      </w:r>
    </w:p>
    <w:p>
      <w:r>
        <w:br w:type="page"/>
      </w:r>
    </w:p>
    <w:p>
      <w:pPr>
        <w:spacing w:before="120" w:after="40"/>
      </w:pPr>
      <w:r>
        <w:rPr>
          <w:b/>
          <w:i w:val="0"/>
          <w:color w:val="2F3F9E"/>
          <w:sz w:val="36"/>
        </w:rPr>
        <w:t>MIM0 · Kas saame oma andmed kätte?</w:t>
      </w:r>
    </w:p>
    <w:p>
      <w:pPr>
        <w:spacing w:before="40" w:after="40"/>
      </w:pPr>
      <w:r>
        <w:rPr>
          <w:b w:val="0"/>
          <w:i w:val="0"/>
          <w:color w:val="646B82"/>
          <w:sz w:val="20"/>
        </w:rPr>
        <w:t xml:space="preserve">Andmetele juurdepääs   </w:t>
      </w:r>
      <w:hyperlink r:id="rId13">
        <w:r>
          <w:rPr>
            <w:color w:val="2F3F9E"/>
            <w:u w:val="single"/>
            <w:sz w:val="17.0"/>
          </w:rPr>
          <w:t>mims.oascities.org/accessing-data</w:t>
        </w:r>
      </w:hyperlink>
    </w:p>
    <w:p>
      <w:pPr>
        <w:spacing w:before="120" w:after="200"/>
      </w:pPr>
      <w:r>
        <w:rPr>
          <w:b w:val="0"/>
          <w:i w:val="0"/>
          <w:sz w:val="20"/>
        </w:rPr>
        <w:t>See on vundament. Kui andmed ei saa süsteemist väljuda standardse liidese kaudu, on kõik muu selles teatmikus vaid teooria. MIM0 nõuab igalt ostetavalt süsteemilt üht: andmed peavad olema kättesaadavad tavalise veebi kaudu masinloetaval kujul.</w:t>
      </w:r>
    </w:p>
    <w:p>
      <w:pPr>
        <w:spacing w:before="40" w:after="20"/>
      </w:pPr>
      <w:r>
        <w:rPr>
          <w:b/>
          <w:i w:val="0"/>
          <w:color w:val="2F3F9E"/>
          <w:sz w:val="22"/>
        </w:rPr>
        <w:t xml:space="preserve">☐  </w:t>
      </w:r>
      <w:r>
        <w:rPr>
          <w:b/>
          <w:i w:val="0"/>
          <w:color w:val="2F3F9E"/>
          <w:sz w:val="20"/>
        </w:rPr>
        <w:t xml:space="preserve">0.1  </w:t>
      </w:r>
      <w:r>
        <w:rPr>
          <w:b/>
          <w:i w:val="0"/>
          <w:sz w:val="20"/>
        </w:rPr>
        <w:t>Kõik andmed, mida süsteem kogub või toodab, on standardse veebi-API kaudu kättesaadavad vähemalt ühes masinloetavas vormingus (nt JSON, CSV).</w:t>
      </w:r>
    </w:p>
    <w:p>
      <w:pPr>
        <w:spacing w:before="40" w:after="140"/>
      </w:pPr>
      <w:r>
        <w:rPr>
          <w:b w:val="0"/>
          <w:i/>
          <w:color w:val="646B82"/>
          <w:sz w:val="18"/>
        </w:rPr>
        <w:t xml:space="preserve">Teie järgmine lepingupartner — või teie oma töötajad — saavad andmeid kasutada ilma tarnijalt luba küsimata.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on ametlikult kirjeldatud avatud masinloetavas dokumendis (näiteks OpenAPI), mis on avaldatud püsival aadressil.</w:t>
      </w:r>
    </w:p>
    <w:p>
      <w:pPr>
        <w:spacing w:before="40" w:after="140"/>
      </w:pPr>
      <w:r>
        <w:rPr>
          <w:b w:val="0"/>
          <w:i/>
          <w:color w:val="646B82"/>
          <w:sz w:val="18"/>
        </w:rPr>
        <w:t xml:space="preserve">Iga arendaja saab süsteemiga ühenduda ilma tasulise „liidestustöötoata”.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Andmeid saab filtreerida aja, asukoha ja atribuutide järgi otse API kaudu.</w:t>
      </w:r>
    </w:p>
    <w:p>
      <w:pPr>
        <w:spacing w:before="40" w:after="140"/>
      </w:pPr>
      <w:r>
        <w:rPr>
          <w:b w:val="0"/>
          <w:i/>
          <w:color w:val="646B82"/>
          <w:sz w:val="18"/>
        </w:rPr>
        <w:t xml:space="preserve">Pärite seda, mida vajate, mitte igal ööl täielikku andmetõmmist.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Kui kasutusjuht vajab reaalajas andmeid, saavad tarbijad pideva pärimise asemel tellida teavitusi muudatuste kohta (webhook'id, MQTT vms).</w:t>
      </w:r>
    </w:p>
    <w:p>
      <w:pPr>
        <w:spacing w:before="40" w:after="140"/>
      </w:pPr>
      <w:r>
        <w:rPr>
          <w:b w:val="0"/>
          <w:i/>
          <w:color w:val="646B82"/>
          <w:sz w:val="18"/>
        </w:rPr>
        <w:t xml:space="preserve">Reaalajas armatuurlauad ja häireteavitused muutuvad võimalikuks ja odavaks.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Vead, vahemällu salvestamine ja päringulimiidid kasutavad standardseid HTTP reegleid ning on dokumenteeritud.</w:t>
      </w:r>
    </w:p>
    <w:p>
      <w:pPr>
        <w:spacing w:before="40" w:after="140"/>
      </w:pPr>
      <w:r>
        <w:rPr>
          <w:b w:val="0"/>
          <w:i/>
          <w:color w:val="646B82"/>
          <w:sz w:val="18"/>
        </w:rPr>
        <w:t xml:space="preserve">Liidestusvead ilmnevad arusaadavalt ja parandatavalt, mitte varjatult.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Andmed, mille eest maksite, jäävad kasutatavaks ka pärast lepingu lõppu.</w:t>
            </w:r>
          </w:p>
          <w:p>
            <w:pPr>
              <w:spacing w:before="20" w:after="60"/>
            </w:pPr>
            <w:r>
              <w:rPr>
                <w:b/>
                <w:i w:val="0"/>
                <w:color w:val="2F3F9E"/>
                <w:sz w:val="18"/>
              </w:rPr>
              <w:t xml:space="preserve">•  </w:t>
            </w:r>
            <w:r>
              <w:rPr>
                <w:b w:val="0"/>
                <w:i w:val="0"/>
                <w:sz w:val="18"/>
              </w:rPr>
              <w:t>Uued teenused toetuvad vanadele andmetele, alustamata nullist.</w:t>
            </w:r>
          </w:p>
          <w:p>
            <w:pPr>
              <w:spacing w:before="20" w:after="60"/>
            </w:pPr>
            <w:r>
              <w:rPr>
                <w:b/>
                <w:i w:val="0"/>
                <w:color w:val="2F3F9E"/>
                <w:sz w:val="18"/>
              </w:rPr>
              <w:t xml:space="preserve">•  </w:t>
            </w:r>
            <w:r>
              <w:rPr>
                <w:b w:val="0"/>
                <w:i w:val="0"/>
                <w:sz w:val="18"/>
              </w:rPr>
              <w:t>Liidestamiskulud vähenevad iga järgmise projekti puhul.</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„Andmete eksport taotluse alusel meie kasutajatoe kaudu.”</w:t>
            </w:r>
          </w:p>
          <w:p>
            <w:pPr>
              <w:spacing w:before="20" w:after="60"/>
            </w:pPr>
            <w:r>
              <w:rPr>
                <w:b/>
                <w:i w:val="0"/>
                <w:color w:val="A02020"/>
                <w:sz w:val="18"/>
              </w:rPr>
              <w:t xml:space="preserve">•  </w:t>
            </w:r>
            <w:r>
              <w:rPr>
                <w:b w:val="0"/>
                <w:i w:val="0"/>
                <w:sz w:val="18"/>
              </w:rPr>
              <w:t>„API on saadaval tasulise lisamoodulina.”</w:t>
            </w:r>
          </w:p>
          <w:p>
            <w:pPr>
              <w:spacing w:before="20" w:after="60"/>
            </w:pPr>
            <w:r>
              <w:rPr>
                <w:b/>
                <w:i w:val="0"/>
                <w:color w:val="A02020"/>
                <w:sz w:val="18"/>
              </w:rPr>
              <w:t xml:space="preserve">•  </w:t>
            </w:r>
            <w:r>
              <w:rPr>
                <w:b w:val="0"/>
                <w:i w:val="0"/>
                <w:sz w:val="18"/>
              </w:rPr>
              <w:t>Päringupõhine tasu linna enda andmete eest (vt tingimust „Oma andmete tasuta kättesaadavus”).</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Masinloetavad andmed on kättesaadavad veebi kaudu</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Süsteemid PEAVAD võimaldama andmete kättesaamist vähemalt ühes masinloetavas vormingus. Vorminguid SAAB määrata HTTP sisuläbirääkimiste (Content-Negotiation) kaudu</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Andmed PEAVAD olema kättesaadavad vähemalt ühe standardse veebipõhise mehhanismi kaudu</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Juurdepääsumehhanism(id) PEAVAD olema ametlikult kirjeldatud</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Andmesisus (payload) kasutatavad andmemudelid peaksid olema määratud (vt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Juurdepääs on struktureeritud ja päritav</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Süsteemid PEAVAD pakkuma andmeid struktureeritud ja ühtse liidese kaudu</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Süsteemid PEAVAD toetama põhilisi päringuid ja/või filtreerimist (nt aja, asukoha, atribuutide järgi)</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Täiendav parim tava, mida kaaluda:</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API-d PEAKSID toetama kehtivate andmete pärimist</w:t>
              <w:br/>
              <w:t>API-d PEAKSID toetama ajalooliste andmete pärimist, kui see on kohaldatav</w:t>
              <w:br/>
              <w:t>API-d PEAKSID toetama ruumilisi päringuid, kui see on kohaldatav (vt MIM7)</w:t>
              <w:br/>
              <w:t>API-d PEAKSID toetama muudatuste tellimist, kui see on kohaldatav</w:t>
              <w:br/>
              <w:t>API-d PEAKSID näitama järgmise eeldatava uuenduse ajatemplit</w:t>
              <w:br/>
              <w:t>API-d PEAKSID toetama endpoint'ide selget versioonihaldust</w:t>
              <w:br/>
              <w:t>API-d PEAKSID pakkuma näidisandmeid või testpäringuid</w:t>
              <w:br/>
              <w:t>API-d PEAKSID toetama standardseid HTTP vahemällu salvestamise päiseid</w:t>
              <w:br/>
              <w:t>API-d PEAKSID edastama päringulimiidi olekut standardsete HTTP päiste kaudu</w:t>
              <w:br/>
              <w:t>API-d PEAKSID tagastama struktureeritud veateateid</w:t>
              <w:br/>
              <w:t>API-d VÕIVAD toetada osalisi vastuseid või päringu projektsioone</w:t>
              <w:br/>
              <w:t>API-d VÕIVAD pakkuda standardset tervise-/olekukontrolli endpoint'i</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Andmemuudatusi saab tellida</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Süsteemid teavitusi vajavate kasutusjuhtude jaoks PEAVAD pakkuma vähemalt ühte mehhanismi andmemuudatuste kohta teavituste saamiseks</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Süsteemid VÕIVAD sõltuvalt kasutusjuhust toetada mitut tellimismehhanismi</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Juurdepääsu teabele saab piirata</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Kui sellised piirangud on kehtestatud, PEAVAD need järgima standardites MIM3 ja MIM6 määratletud nõudeid, eelkõige: osapoole tuvastamine (MIM3.C5.R0), autoriseerimine ja osapoole rollid (MIM6.C1.R4), andmevara taseme reeglid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Täielik spetsifikatsioon: </w:t>
      </w:r>
      <w:hyperlink r:id="rId13">
        <w:r>
          <w:rPr>
            <w:color w:val="2F3F9E"/>
            <w:u w:val="single"/>
            <w:sz w:val="18"/>
          </w:rPr>
          <w:t>https://mims.oascities.org/accessing-data</w:t>
        </w:r>
      </w:hyperlink>
    </w:p>
    <w:p>
      <w:r>
        <w:br w:type="page"/>
      </w:r>
    </w:p>
    <w:p>
      <w:pPr>
        <w:spacing w:before="120" w:after="40"/>
      </w:pPr>
      <w:r>
        <w:rPr>
          <w:b/>
          <w:i w:val="0"/>
          <w:color w:val="2F3F9E"/>
          <w:sz w:val="36"/>
        </w:rPr>
        <w:t>MIM1 · Kas igal asjal on püsiv nimi?</w:t>
      </w:r>
    </w:p>
    <w:p>
      <w:pPr>
        <w:spacing w:before="40" w:after="40"/>
      </w:pPr>
      <w:r>
        <w:rPr>
          <w:b w:val="0"/>
          <w:i w:val="0"/>
          <w:color w:val="646B82"/>
          <w:sz w:val="20"/>
        </w:rPr>
        <w:t xml:space="preserve">Andmete seostamine   </w:t>
      </w:r>
      <w:hyperlink r:id="rId14">
        <w:r>
          <w:rPr>
            <w:color w:val="2F3F9E"/>
            <w:u w:val="single"/>
            <w:sz w:val="17.0"/>
          </w:rPr>
          <w:t>mims.oascities.org/interlinking-data</w:t>
        </w:r>
      </w:hyperlink>
    </w:p>
    <w:p>
      <w:pPr>
        <w:spacing w:before="120" w:after="200"/>
      </w:pPr>
      <w:r>
        <w:rPr>
          <w:b w:val="0"/>
          <w:i w:val="0"/>
          <w:sz w:val="20"/>
        </w:rPr>
        <w:t>Linn on täis objekte: valgustid, torud, hooned, parkimiskohad. Süsteemid tulevad ja lähevad, kuid objektid jäävad. MIM1 nõuab, et iga objekt saaks nime — identifikaatori —, mis elab kauem kui seda esmakordselt kirjeldanud tarkvara, tagades ajaloo ja seoste säilimise igal migreerimisel.</w:t>
      </w:r>
    </w:p>
    <w:p>
      <w:pPr>
        <w:spacing w:before="40" w:after="20"/>
      </w:pPr>
      <w:r>
        <w:rPr>
          <w:b/>
          <w:i w:val="0"/>
          <w:color w:val="2F3F9E"/>
          <w:sz w:val="22"/>
        </w:rPr>
        <w:t xml:space="preserve">☐  </w:t>
      </w:r>
      <w:r>
        <w:rPr>
          <w:b/>
          <w:i w:val="0"/>
          <w:color w:val="2F3F9E"/>
          <w:sz w:val="20"/>
        </w:rPr>
        <w:t xml:space="preserve">1.1  </w:t>
      </w:r>
      <w:r>
        <w:rPr>
          <w:b/>
          <w:i w:val="0"/>
          <w:sz w:val="20"/>
        </w:rPr>
        <w:t>Igal olemil (sensor, valgusti, hoone, parkimiskoht…) on kordumatu püsiv identifikaator, mis ei muutu tarkvara asendamisel.</w:t>
      </w:r>
    </w:p>
    <w:p>
      <w:pPr>
        <w:spacing w:before="40" w:after="140"/>
      </w:pPr>
      <w:r>
        <w:rPr>
          <w:b w:val="0"/>
          <w:i/>
          <w:color w:val="646B82"/>
          <w:sz w:val="18"/>
        </w:rPr>
        <w:t xml:space="preserve">Ajalugu ja süsteemidevahelised seosed elavad tarnija vahetuse üle.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Identifikaatori alusel saab teha päringu olemi andmete ja selle tähenduse (tüübi) masinloetavaks pärimiseks.</w:t>
      </w:r>
    </w:p>
    <w:p>
      <w:pPr>
        <w:spacing w:before="40" w:after="140"/>
      </w:pPr>
      <w:r>
        <w:rPr>
          <w:b w:val="0"/>
          <w:i/>
          <w:color w:val="646B82"/>
          <w:sz w:val="18"/>
        </w:rPr>
        <w:t xml:space="preserve">Teised süsteemid saavad linki automaatselt järgida.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Kui sama reaalne objekt esineb mitmes süsteemis, saab identifikaatoreid omavahel vastendada.</w:t>
      </w:r>
    </w:p>
    <w:p>
      <w:pPr>
        <w:spacing w:before="40" w:after="140"/>
      </w:pPr>
      <w:r>
        <w:rPr>
          <w:b w:val="0"/>
          <w:i/>
          <w:color w:val="646B82"/>
          <w:sz w:val="18"/>
        </w:rPr>
        <w:t xml:space="preserve">GIS-i hoone ja energiasüsteemi hoone on tõendatult üks ja seesama hoone.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Identifikaatorid ei sisalda tarnija sisemisi tunnuseid (andmebaasi rea ID-d, serverinimed).</w:t>
      </w:r>
    </w:p>
    <w:p>
      <w:pPr>
        <w:spacing w:before="40" w:after="140"/>
      </w:pPr>
      <w:r>
        <w:rPr>
          <w:b w:val="0"/>
          <w:i/>
          <w:color w:val="646B82"/>
          <w:sz w:val="18"/>
        </w:rPr>
        <w:t xml:space="preserve">Vastasel juhul kaovad identifikaatorid koos lepinguga.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Kümne aasta mõõtmistulemused jäävad seotuks õige valgustipostiga.</w:t>
            </w:r>
          </w:p>
          <w:p>
            <w:pPr>
              <w:spacing w:before="20" w:after="60"/>
            </w:pPr>
            <w:r>
              <w:rPr>
                <w:b/>
                <w:i w:val="0"/>
                <w:color w:val="2F3F9E"/>
                <w:sz w:val="18"/>
              </w:rPr>
              <w:t xml:space="preserve">•  </w:t>
            </w:r>
            <w:r>
              <w:rPr>
                <w:b w:val="0"/>
                <w:i w:val="0"/>
                <w:sz w:val="18"/>
              </w:rPr>
              <w:t>Ametid ei pea enam samade varade kohta viit vasturääkivat registrit.</w:t>
            </w:r>
          </w:p>
          <w:p>
            <w:pPr>
              <w:spacing w:before="20" w:after="60"/>
            </w:pPr>
            <w:r>
              <w:rPr>
                <w:b/>
                <w:i w:val="0"/>
                <w:color w:val="2F3F9E"/>
                <w:sz w:val="18"/>
              </w:rPr>
              <w:t xml:space="preserve">•  </w:t>
            </w:r>
            <w:r>
              <w:rPr>
                <w:b w:val="0"/>
                <w:i w:val="0"/>
                <w:sz w:val="18"/>
              </w:rPr>
              <w:t>Andmestike sidumine muutub lihtsaks päringuks, mitte konsultatsiooniprojektiks.</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„Identifikaatorid on meie platvormi sisesed.”</w:t>
            </w:r>
          </w:p>
          <w:p>
            <w:pPr>
              <w:spacing w:before="20" w:after="60"/>
            </w:pPr>
            <w:r>
              <w:rPr>
                <w:b/>
                <w:i w:val="0"/>
                <w:color w:val="A02020"/>
                <w:sz w:val="18"/>
              </w:rPr>
              <w:t xml:space="preserve">•  </w:t>
            </w:r>
            <w:r>
              <w:rPr>
                <w:b w:val="0"/>
                <w:i w:val="0"/>
                <w:sz w:val="18"/>
              </w:rPr>
              <w:t>Identifikaatorid luuakse igal andmete migreerimisel uuesti.</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Olemeid identifitseeritakse kordumatute identifikaatorite abil</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Igal süsteemis oleval olemil on kordumatu identifikaator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Eksisteerib viis olemi kohta teabe hankimiseks identifikaatori otsingu kaudu süsteemis</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kui kordumatu identifikaator viitab samale olemile mitmes süsteemis, on võimalik tuletada viis selle kohta teabe otsimiseks igas neist süsteemidest</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kui mitu kordumatut identifikaatorit viitavad samale olemile, on neid võimalik vastendada</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On võimalik luua identifikaatoreid, mis on ajas püsivad</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Olemeid saab tüüpida</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Eksisteerib viis olemi semantika pärimiseks, kasutades ainult selle kordumatut identifikaatorit</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Seda semantikat kirjeldatakse masinloetavas vormingus</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Olemitele saab viidata ja viiteid lahendada</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Eksisteerib viis olemil määratletud seose lahendamiseks (dereference)</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Eksisteerib viis olemasolevale ontoloogiale täiendava semantika rakendamiseks</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Mehhanism 1, jaotis 3.1: Olemi identifitseerimine globaalselt unikaalsete IRI-dega</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IRI-d käsitletakse kanoonilise identifikaatorina kõigis allsüsteemides; teostused EI TOHI genereerida IRI-sid, mis sisaldavad muutuvaid teostusdetaile, nagu andmebaasi reaindeksid või serverite hostinimed.</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Täielik spetsifikatsioon: </w:t>
      </w:r>
      <w:hyperlink r:id="rId14">
        <w:r>
          <w:rPr>
            <w:color w:val="2F3F9E"/>
            <w:u w:val="single"/>
            <w:sz w:val="18"/>
          </w:rPr>
          <w:t>https://mims.oascities.org/interlinking-data</w:t>
        </w:r>
      </w:hyperlink>
    </w:p>
    <w:p>
      <w:r>
        <w:br w:type="page"/>
      </w:r>
    </w:p>
    <w:p>
      <w:pPr>
        <w:spacing w:before="120" w:after="40"/>
      </w:pPr>
      <w:r>
        <w:rPr>
          <w:b/>
          <w:i w:val="0"/>
          <w:color w:val="2F3F9E"/>
          <w:sz w:val="36"/>
        </w:rPr>
        <w:t>MIM2 · Kas me räägime ühist keelt?</w:t>
      </w:r>
    </w:p>
    <w:p>
      <w:pPr>
        <w:spacing w:before="40" w:after="40"/>
      </w:pPr>
      <w:r>
        <w:rPr>
          <w:b w:val="0"/>
          <w:i w:val="0"/>
          <w:color w:val="646B82"/>
          <w:sz w:val="20"/>
        </w:rPr>
        <w:t xml:space="preserve">Andmete esitamine   </w:t>
      </w:r>
      <w:hyperlink r:id="rId15">
        <w:r>
          <w:rPr>
            <w:color w:val="2F3F9E"/>
            <w:u w:val="single"/>
            <w:sz w:val="17.0"/>
          </w:rPr>
          <w:t>mims.oascities.org/representing-data</w:t>
        </w:r>
      </w:hyperlink>
    </w:p>
    <w:p>
      <w:pPr>
        <w:spacing w:before="120" w:after="200"/>
      </w:pPr>
      <w:r>
        <w:rPr>
          <w:b w:val="0"/>
          <w:i w:val="0"/>
          <w:sz w:val="20"/>
        </w:rPr>
        <w:t>Kaks süsteemi võivad mõlemad eksportida JSON-i ja ometi teineteisest mitte aru saada. MIM2 keskendub tähendusele: ühiste dokumenteeritud andmemudelite kasutamisele koos selgete mõõtühikute ja vormingutega, et „temperatuur”, „parkimiskoht” või „õhukvaliteet” tähendaks igas süsteemis sama asja.</w:t>
      </w:r>
    </w:p>
    <w:p>
      <w:pPr>
        <w:spacing w:before="40" w:after="20"/>
      </w:pPr>
      <w:r>
        <w:rPr>
          <w:b/>
          <w:i w:val="0"/>
          <w:color w:val="2F3F9E"/>
          <w:sz w:val="22"/>
        </w:rPr>
        <w:t xml:space="preserve">☐  </w:t>
      </w:r>
      <w:r>
        <w:rPr>
          <w:b/>
          <w:i w:val="0"/>
          <w:color w:val="2F3F9E"/>
          <w:sz w:val="20"/>
        </w:rPr>
        <w:t xml:space="preserve">2.1  </w:t>
      </w:r>
      <w:r>
        <w:rPr>
          <w:b/>
          <w:i w:val="0"/>
          <w:sz w:val="20"/>
        </w:rPr>
        <w:t>Andmetes kasutatakse üldtunnustatud standardseid andmemudeleid (nt Smart Data Models, SAREF, ISO/IEC 5087) alati, kui need on olemas; kõrvalekaldeid põhjendatakse kirjalikult.</w:t>
      </w:r>
    </w:p>
    <w:p>
      <w:pPr>
        <w:spacing w:before="40" w:after="140"/>
      </w:pPr>
      <w:r>
        <w:rPr>
          <w:b w:val="0"/>
          <w:i/>
          <w:color w:val="646B82"/>
          <w:sz w:val="18"/>
        </w:rPr>
        <w:t xml:space="preserve">Kahe tarnija andmed ühildatakse ilma eraldi tõlkeprojektita.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Kõik kasutusel olevad andmemudelid on selgesõnaliselt dokumenteeritud koos esitatud mõõtühikute ja kuupäeva-/kellaajavormingutega.</w:t>
      </w:r>
    </w:p>
    <w:p>
      <w:pPr>
        <w:spacing w:before="40" w:after="140"/>
      </w:pPr>
      <w:r>
        <w:rPr>
          <w:b w:val="0"/>
          <w:i/>
          <w:color w:val="646B82"/>
          <w:sz w:val="18"/>
        </w:rPr>
        <w:t xml:space="preserve">„Temperatuur: 23” on kasutu, kui pole kirja pandud, kas tegemist on °C või °F skaalaga.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Laiendused tarnitakse dokumenteeritud profiilidena/täiendustena standardmudeli peal — mitte kunagi muudetud privaatse fork'ina.</w:t>
      </w:r>
    </w:p>
    <w:p>
      <w:pPr>
        <w:spacing w:before="40" w:after="140"/>
      </w:pPr>
      <w:r>
        <w:rPr>
          <w:b w:val="0"/>
          <w:i/>
          <w:color w:val="646B82"/>
          <w:sz w:val="18"/>
        </w:rPr>
        <w:t xml:space="preserve">Säilib ühilduvus kogukonna ja tulevaste uuendustega.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Igal mudelil on vähemalt üks avatud, skeemiga valideeritav serialiseering (nt JSON koos JSON Schemaga).</w:t>
      </w:r>
    </w:p>
    <w:p>
      <w:pPr>
        <w:spacing w:before="40" w:after="140"/>
      </w:pPr>
      <w:r>
        <w:rPr>
          <w:b w:val="0"/>
          <w:i/>
          <w:color w:val="646B82"/>
          <w:sz w:val="18"/>
        </w:rPr>
        <w:t xml:space="preserve">Sissetulevaid andmeid saab automaatselt kohe alguses kontrollida.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Üks armatuurlaud loeb mitme tarnija andmeid ilma vaheadapteriteta.</w:t>
            </w:r>
          </w:p>
          <w:p>
            <w:pPr>
              <w:spacing w:before="20" w:after="60"/>
            </w:pPr>
            <w:r>
              <w:rPr>
                <w:b/>
                <w:i w:val="0"/>
                <w:color w:val="2F3F9E"/>
                <w:sz w:val="18"/>
              </w:rPr>
              <w:t xml:space="preserve">•  </w:t>
            </w:r>
            <w:r>
              <w:rPr>
                <w:b w:val="0"/>
                <w:i w:val="0"/>
                <w:sz w:val="18"/>
              </w:rPr>
              <w:t>Teiste linnade tööriistad mõistavad teie andmeid ja teie omad teiste andmeid.</w:t>
            </w:r>
          </w:p>
          <w:p>
            <w:pPr>
              <w:spacing w:before="20" w:after="60"/>
            </w:pPr>
            <w:r>
              <w:rPr>
                <w:b/>
                <w:i w:val="0"/>
                <w:color w:val="2F3F9E"/>
                <w:sz w:val="18"/>
              </w:rPr>
              <w:t xml:space="preserve">•  </w:t>
            </w:r>
            <w:r>
              <w:rPr>
                <w:b w:val="0"/>
                <w:i w:val="0"/>
                <w:sz w:val="18"/>
              </w:rPr>
              <w:t>Automaatne valideerimine tuvastab vigased andmed enne nende levimist.</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„Meie suletud andmemudel on standardist rikkalikum.”</w:t>
            </w:r>
          </w:p>
          <w:p>
            <w:pPr>
              <w:spacing w:before="20" w:after="60"/>
            </w:pPr>
            <w:r>
              <w:rPr>
                <w:b/>
                <w:i w:val="0"/>
                <w:color w:val="A02020"/>
                <w:sz w:val="18"/>
              </w:rPr>
              <w:t xml:space="preserve">•  </w:t>
            </w:r>
            <w:r>
              <w:rPr>
                <w:b w:val="0"/>
                <w:i w:val="0"/>
                <w:sz w:val="18"/>
              </w:rPr>
              <w:t>Dokumentatsioon on kättesaadav ainult NDA alusel.</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Kõiki andmeallikates sisalduvaid olemeid kirjeldatakse järjepidevate andmemudelite abil, et tagada rakenduste ja süsteemide koostalitlusvõime</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Mis tahes andmeallika kõigi olemite jaoks kasutatavad andmemudelid peavad olema selgesõnalised. Need peavad olema hästi dokumenteeritud ja kirjeldavate metaandmetega, kus kasutatavad terminid peavad olema semantiliselt ühemõttelised. Mõõtühikute, ajavormingute jms atribuutide puhul peavad kasutatavad ühikud, vormingud jms olema selgelt esitatud. Andmemudelid peaksid olema kataloogitud, et need oleksid hõlpsasti leitavad.</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Kasutatavad andmemudelid peavad põhinema (igal võimalusel) üldtunnustatud standardiseeritud andmemudelitel, nagu allpool loetletud</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Kui olemasolevaid standardiseeritud andmemudeleid ei ole võimalik kasutada, tuleb teha jõupingutusi kõige lähedasemate olemasolevate standardiseeritud andmemudelite laiendamiseks või uute määratlemiseks, järgides andmemudeleid määratleva kogukonna või organisatsiooni parimaid tavasid ja konventsioone.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Kasutatavad andmemudelid peavad toetama andmevahetust, kasutades andmetele juurdepääsu ja andmete seostamise MIMide asjakohaseid nõudeid</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Sama olemi erinevaid andmemudeleid, mida kasutatakse ühises andmejagamise ökosüsteemis, peaks saama hõlpsasti teisendada ühiseks andmemudeliks</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Mis tahes andmeökosüsteemi iga võtmeolemi jaoks peaks välja töötama ühise andmemudeli. See ühine andmemudel peaks sisaldama kõiki välju, mis sisalduvad selle olemi erinevates andmemudelites, mida selles andmeökosüsteemis kasutatakse. Iga erinevat selles andmeökosüsteemis kasutatavat andmemudelit saaks seejärel teisendada ühiseks andmemudeliks.</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Mis tahes andmeid ja nendega seotud metaandmeid saab jagada avatud standardiseeritud andmeedastusvormingutes, et andmeid saaks eri tööriistade ja teostuste vahel vahetada ja tõlgendada järjepidevalt</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Igal kasutataval andmemudelil peab olema vähemalt üks määratletud masinloetav andmeedastusvorming („serialiseering”), mis on avatud, avalikult kättesaadav ja teostusest sõltumatu.</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Andmeedastusvormingu dokumentatsioon peaks olema piisav, et võimaldada mitteomandusliku rakenduse või interpretaatori loomist, mis suudab taastada kõik sellises andmevormingus salvestatud andmed.</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Kui sama andmemudeli puhul toetatakse mitut andmeedastusvormingut, peavad need esitama sama infosisu järjepidevalt ja ilma tähenduse kadumiseta.</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Esitusviis peaks toetama valideerimist avalikult avaldatud skeemide, grammatikate või samaväärsete masinloetavate kitsenduste abil, kui valitud vormingu jaoks on sellised valideerimismehhanismid olemas.</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Kui see on kasulik, peaks olema võimalik luua andmemudelile „rakendusprofiile”, et lisada või täpsustada kasutusjuhupõhiseid atribuute ilma alusandmemudelit muutmata</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Andmemudelit laiendavad rakendusprofiilid ei tohiks mõjutada juba olemasolevat mudelit ja selle kasutajaid</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Mudeli rakendusprofiilis sisse viidud spetsialiseerumised või laiendused peaksid olema hästi dokumenteeritud, baasandmemudelist eraldi</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Täielik spetsifikatsioon: </w:t>
      </w:r>
      <w:hyperlink r:id="rId15">
        <w:r>
          <w:rPr>
            <w:color w:val="2F3F9E"/>
            <w:u w:val="single"/>
            <w:sz w:val="18"/>
          </w:rPr>
          <w:t>https://mims.oascities.org/representing-data</w:t>
        </w:r>
      </w:hyperlink>
    </w:p>
    <w:p>
      <w:r>
        <w:br w:type="page"/>
      </w:r>
    </w:p>
    <w:p>
      <w:pPr>
        <w:spacing w:before="120" w:after="40"/>
      </w:pPr>
      <w:r>
        <w:rPr>
          <w:b/>
          <w:i w:val="0"/>
          <w:color w:val="2F3F9E"/>
          <w:sz w:val="36"/>
        </w:rPr>
        <w:t>MIM3 · Kas saame jagada selgetel tingimustel?</w:t>
      </w:r>
    </w:p>
    <w:p>
      <w:pPr>
        <w:spacing w:before="40" w:after="40"/>
      </w:pPr>
      <w:r>
        <w:rPr>
          <w:b w:val="0"/>
          <w:i w:val="0"/>
          <w:color w:val="646B82"/>
          <w:sz w:val="20"/>
        </w:rPr>
        <w:t xml:space="preserve">Andmevahetus   </w:t>
      </w:r>
      <w:hyperlink r:id="rId16">
        <w:r>
          <w:rPr>
            <w:color w:val="2F3F9E"/>
            <w:u w:val="single"/>
            <w:sz w:val="17.0"/>
          </w:rPr>
          <w:t>mims.oascities.org/exchanging-data</w:t>
        </w:r>
      </w:hyperlink>
    </w:p>
    <w:p>
      <w:pPr>
        <w:spacing w:before="120" w:after="200"/>
      </w:pPr>
      <w:r>
        <w:rPr>
          <w:b w:val="0"/>
          <w:i w:val="0"/>
          <w:sz w:val="20"/>
        </w:rPr>
        <w:t>Kõiki linna andmeid ei saa lihtsalt avalikustada: osa on ärilised, osa tundlikud. MIM3 eesmärk on jagada ülejäänut sellegipoolest turvaliselt: otsitav kataloog, mallidel põhinevad litsentsid eraldi koostatud juriidilise teksti asemel ning kõigile loetavad haldusreeglid. Spetsifikatsioonis on peaaegu kogu MIM3 sõnastatud soovitusena (vt lk 3).</w:t>
      </w:r>
    </w:p>
    <w:p>
      <w:pPr>
        <w:spacing w:before="40" w:after="20"/>
      </w:pPr>
      <w:r>
        <w:rPr>
          <w:b/>
          <w:i w:val="0"/>
          <w:color w:val="2F3F9E"/>
          <w:sz w:val="22"/>
        </w:rPr>
        <w:t xml:space="preserve">☐  </w:t>
      </w:r>
      <w:r>
        <w:rPr>
          <w:b/>
          <w:i w:val="0"/>
          <w:color w:val="2F3F9E"/>
          <w:sz w:val="20"/>
        </w:rPr>
        <w:t xml:space="preserve">3.1  </w:t>
      </w:r>
      <w:r>
        <w:rPr>
          <w:b/>
          <w:i w:val="0"/>
          <w:sz w:val="20"/>
        </w:rPr>
        <w:t>Iga süsteemi pakutav andmestik on kataloogis kirjeldatud standardsete metaandmetega (näiteks DCAT-AP), et teised saaksid seda leida.</w:t>
      </w:r>
    </w:p>
    <w:p>
      <w:pPr>
        <w:spacing w:before="40" w:after="140"/>
      </w:pPr>
      <w:r>
        <w:rPr>
          <w:b w:val="0"/>
          <w:i/>
          <w:color w:val="646B82"/>
          <w:sz w:val="18"/>
        </w:rPr>
        <w:t xml:space="preserve">Andmeid, mida keegi ei leia, ei kasuta mitte keegi.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Andmete kasutamise tingimused ja litsentsid põhinevad tuntud mallidel (nt avatud litsentsid, standardsed andmejagamislepingud), mitte iga andmestiku jaoks eraldi koostatud juriidilisel tekstil.</w:t>
      </w:r>
    </w:p>
    <w:p>
      <w:pPr>
        <w:spacing w:before="40" w:after="140"/>
      </w:pPr>
      <w:r>
        <w:rPr>
          <w:b w:val="0"/>
          <w:i/>
          <w:color w:val="646B82"/>
          <w:sz w:val="18"/>
        </w:rPr>
        <w:t xml:space="preserve">Lepingute sõlmimine on hõlpsalt laiendatav ilma iga juhtumi eraldi õigusliku analüüsita.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Linn saab määrata, kes millisele andmevarale ja millistel tingimustel ligi pääseb, ning seda tarnija kaasamiseta muuta.</w:t>
      </w:r>
    </w:p>
    <w:p>
      <w:pPr>
        <w:spacing w:before="40" w:after="140"/>
      </w:pPr>
      <w:r>
        <w:rPr>
          <w:b w:val="0"/>
          <w:i/>
          <w:color w:val="646B82"/>
          <w:sz w:val="18"/>
        </w:rPr>
        <w:t xml:space="preserve">Andmehalduse juhtimine jääb omavalitsusele.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Kohalikud ettevõtted ja teadlased loovad lisandväärtust linna andmetele — tulu jääb piirkonda.</w:t>
            </w:r>
          </w:p>
          <w:p>
            <w:pPr>
              <w:spacing w:before="20" w:after="60"/>
            </w:pPr>
            <w:r>
              <w:rPr>
                <w:b/>
                <w:i w:val="0"/>
                <w:color w:val="2F3F9E"/>
                <w:sz w:val="18"/>
              </w:rPr>
              <w:t xml:space="preserve">•  </w:t>
            </w:r>
            <w:r>
              <w:rPr>
                <w:b w:val="0"/>
                <w:i w:val="0"/>
                <w:sz w:val="18"/>
              </w:rPr>
              <w:t>Tundlikke andmeid saab jagada täpselt õigete partneritega, mitte kõigiga või mitte kellegagi.</w:t>
            </w:r>
          </w:p>
          <w:p>
            <w:pPr>
              <w:spacing w:before="20" w:after="60"/>
            </w:pPr>
            <w:r>
              <w:rPr>
                <w:b/>
                <w:i w:val="0"/>
                <w:color w:val="2F3F9E"/>
                <w:sz w:val="18"/>
              </w:rPr>
              <w:t xml:space="preserve">•  </w:t>
            </w:r>
            <w:r>
              <w:rPr>
                <w:b w:val="0"/>
                <w:i w:val="0"/>
                <w:sz w:val="18"/>
              </w:rPr>
              <w:t>Üks reeglistik asendab hulga eraldiseisvaid andmejagamislepinguid.</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Tarnija nõuab õigusi linna andmetele (vt tingimust „Õigused andmetele”).</w:t>
            </w:r>
          </w:p>
          <w:p>
            <w:pPr>
              <w:spacing w:before="20" w:after="60"/>
            </w:pPr>
            <w:r>
              <w:rPr>
                <w:b/>
                <w:i w:val="0"/>
                <w:color w:val="A02020"/>
                <w:sz w:val="18"/>
              </w:rPr>
              <w:t xml:space="preserve">•  </w:t>
            </w:r>
            <w:r>
              <w:rPr>
                <w:b w:val="0"/>
                <w:i w:val="0"/>
                <w:sz w:val="18"/>
              </w:rPr>
              <w:t>Kolmandate isikutega jagamine nõuab tarnija nõusolekut või lisatasusid.</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Andmejagamise ökosüsteemi haldusreegleid saab määratleda</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Andmeökosüsteemi koordineerija peaks saama määratleda haldusmudeli (nt reeglistiku), mis kirjeldab liikmelisuse reegleid, ökosüsteemis osalejate rolle, kohustusi ja vastutust ning nende vahelist andmevahetust reguleerivaid üldpõhimõtteid.</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Andmeökosüsteemis osalevad liikmed peaksid olema teadlikud selle haldusmudelist ja kõigist sellesse tehtud muudatustest.</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Haldusmudel peaks olema kõigile ökosüsteemis osalejatele hõlpsasti mõistetav.</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Andmejagamise tingimusi saab määratleda</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Andmepakkujad võivad vabalt määrata tingimused, mille alusel nad soovivad oma andmeid vahetada. (Märkus: enne andmevarade jagamist peaksid andmepakkujad veenduma, et neil on andmete omanikelt piisav luba.)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Andmevahetuse tingimused peaksid olema kirjeldatud selgelt ja ühemõtteliselt, nii et need oleksid andmekasutajatele kergesti mõistetavad.</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Andmevahetuse tingimused peaksid olema väljendatud andmelitsentside või andmejagamislepingute kaudu, mis põhinevad hästi määratletud mallidel või standarditel.</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Tingimused peaksid olema kooskõlas andmeökosüsteemi üldise haldusmudeliga ega tohi olla sellega vastuolus. (Märkus: andmepakkuja võib otsustada andmeökosüsteemis mitte osaleda, kui aluseks olev haldusmudel on liiga piirav või liiga lubav.)</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Andmejagamise tingimustele vastavust saab kontrollida</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Andmeökosüsteemi koordineerija peab suutma veenduda selles osalejate vastavuses aluseks olevale haldusmudelile.</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Andmepakkujad peaksid suutma veenduda, et andmekasutaja andmekasutus vastab eelnevalt kokkulepitud tingimustele.</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Andmekasutajad peaksid suutma veenduda, et andmepakkuja andmete edastamine järgib eelnevalt kokkulepitud tingimusi.</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Saadaolevaid andmevarasid saab avastada</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Andmekasutajad peaksid saama ilma eelneva teadmiseta avastada, millised andmed on andmejagamise ökosüsteemis saadaval.</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Andmevarad peaksid olema piisavalt kirjeldatud metaandmetega, et andmekasutajad saaksid teha usaldusväärseid otsuseid nende edasise kavandatud kasutuse kohta.</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Andmevarade kirjeldamiseks kasutatavad metaandmed peaksid põhinema hästi määratletud, kergesti mõistetavatel kirjeldusvormingutel, mis on nii inimesele kui ka masinale loetavad.</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Ökosüsteemis osalejaid saab avastada</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Ökosüsteemis osalejad (nt andmekasutajad ja -pakkujad) peaksid suutma andmejagamise ökosüsteemis üksteist leida.</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Iga ökosüsteemis osaleja kohta peaks olema kättesaadav piisavalt metaandmeid, et teha kindlaks nende andmevahetuseks vajalik usaldusväärsus.</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Andmepakkujad peaksid suutma usaldusväärselt tuvastada andmekasutajaid, kes soovivad nende andmevaradele ligi pääseda, ning kontrollida nende metaandmeid enne juurdepääsu andmist.</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Andmekasutajad peaksid suutma tuvastada andmepakkujaid, kes andmeökosüsteemis andmeid jagavad, enne nende andmete kasutamist või neile juurdepääsu.</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Ökosüsteemis osalejad võivad otsustada jääda ka anonüümseks, kui andmejagamise ökosüsteemi haldusmudel seda võimaldab. Sel juhul punkte RC5.1 kuni RC5.4 ei kohaldata.</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Andmevahetuses saab kokku leppida</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Andmekasutajad ja -pakkujad peaksid saama leppida kokku andmevahetuses ja sellega seotud tingimustes (nt tingimustega nõustumine, lepingu allkirjastamine või läbirääkimised).</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Andmekasutajad ja -pakkujad peaksid saama varem kokkulepitud andmevahetuse lõpetada vastavalt sellega seotud tingimustele.</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Võimaluse korral võib pakkuda elektroonilisi vahendeid andmevahetuse kokkuleppimiseks ja lõpetamiseks.</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Saab taotleda uusi andmeid, mis pole hetkel kättesaadavad</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Andmekasutajad peaksid saama väljendada huvi andmevarade vastu, mis pole andmejagamise ökosüsteemis hetkel saadaval.</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Andmepakkujad peaksid saama kätte andmekasutajate taotlusi uute andmevarade järele.</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Täielik spetsifikatsioon: </w:t>
      </w:r>
      <w:hyperlink r:id="rId16">
        <w:r>
          <w:rPr>
            <w:color w:val="2F3F9E"/>
            <w:u w:val="single"/>
            <w:sz w:val="18"/>
          </w:rPr>
          <w:t>https://mims.oascities.org/exchanging-data</w:t>
        </w:r>
      </w:hyperlink>
    </w:p>
    <w:p>
      <w:r>
        <w:br w:type="page"/>
      </w:r>
    </w:p>
    <w:p>
      <w:pPr>
        <w:spacing w:before="120" w:after="40"/>
      </w:pPr>
      <w:r>
        <w:rPr>
          <w:b/>
          <w:i w:val="0"/>
          <w:color w:val="2F3F9E"/>
          <w:sz w:val="36"/>
        </w:rPr>
        <w:t>MIM6 · Kas meie andmed on kaitstud?</w:t>
      </w:r>
    </w:p>
    <w:p>
      <w:pPr>
        <w:spacing w:before="40" w:after="40"/>
      </w:pPr>
      <w:r>
        <w:rPr>
          <w:b w:val="0"/>
          <w:i w:val="0"/>
          <w:color w:val="646B82"/>
          <w:sz w:val="20"/>
        </w:rPr>
        <w:t xml:space="preserve">Andmete turvamine   </w:t>
      </w:r>
      <w:hyperlink r:id="rId17">
        <w:r>
          <w:rPr>
            <w:color w:val="2F3F9E"/>
            <w:u w:val="single"/>
            <w:sz w:val="17.0"/>
          </w:rPr>
          <w:t>mims.oascities.org/securing-data</w:t>
        </w:r>
      </w:hyperlink>
    </w:p>
    <w:p>
      <w:pPr>
        <w:spacing w:before="120" w:after="200"/>
      </w:pPr>
      <w:r>
        <w:rPr>
          <w:b w:val="0"/>
          <w:i w:val="0"/>
          <w:sz w:val="20"/>
        </w:rPr>
        <w:t>Targad linnad on rünnakute sihtmärgid. MIM6 hoiab fookuse teadlikult kitsana ja praktilisena: andmete krüpteerimine liikumisel, standardsed sisselogimised omanduslike asemel, kontroll ja logimine selle üle, kes millele ligi pääseb. Siin pole midagi eriskummalist — kõik see peab olema lepingus.</w:t>
      </w:r>
    </w:p>
    <w:p>
      <w:pPr>
        <w:spacing w:before="40" w:after="20"/>
      </w:pPr>
      <w:r>
        <w:rPr>
          <w:b/>
          <w:i w:val="0"/>
          <w:color w:val="2F3F9E"/>
          <w:sz w:val="22"/>
        </w:rPr>
        <w:t xml:space="preserve">☐  </w:t>
      </w:r>
      <w:r>
        <w:rPr>
          <w:b/>
          <w:i w:val="0"/>
          <w:color w:val="2F3F9E"/>
          <w:sz w:val="20"/>
        </w:rPr>
        <w:t xml:space="preserve">6.1  </w:t>
      </w:r>
      <w:r>
        <w:rPr>
          <w:b/>
          <w:i w:val="0"/>
          <w:sz w:val="20"/>
        </w:rPr>
        <w:t>Kogu andmeedastus on krüpteeritud (TLS 1.3 või kehtiv parim tava).</w:t>
      </w:r>
    </w:p>
    <w:p>
      <w:pPr>
        <w:spacing w:before="40" w:after="140"/>
      </w:pPr>
      <w:r>
        <w:rPr>
          <w:b w:val="0"/>
          <w:i/>
          <w:color w:val="646B82"/>
          <w:sz w:val="18"/>
        </w:rPr>
        <w:t xml:space="preserve">Põhiline turvanõue; seda eeldab ka NIS2 direktiiv, kui see teile kohaldub.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Sisselogimine ja masinjuurdepääs kasutavad avatud standardeid — OAuth 2.0 / OpenID Connect — ning ühilduvad linna olemasoleva identiteedipakkujaga.</w:t>
      </w:r>
    </w:p>
    <w:p>
      <w:pPr>
        <w:spacing w:before="40" w:after="140"/>
      </w:pPr>
      <w:r>
        <w:rPr>
          <w:b w:val="0"/>
          <w:i/>
          <w:color w:val="646B82"/>
          <w:sz w:val="18"/>
        </w:rPr>
        <w:t xml:space="preserve">Üks konto töötaja kohta, mitte eraldi konto iga tarnija tootes; töötaja lahkumisel tühistatakse juurdepääs kõigis süsteemides korraga.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Juurdepääsuõigused on rollipõhised, kontrollitavad ja tühistatavad; juurdepääsud ja administraatori toimingud logitakse.</w:t>
      </w:r>
    </w:p>
    <w:p>
      <w:pPr>
        <w:spacing w:before="40" w:after="140"/>
      </w:pPr>
      <w:r>
        <w:rPr>
          <w:b w:val="0"/>
          <w:i/>
          <w:color w:val="646B82"/>
          <w:sz w:val="18"/>
        </w:rPr>
        <w:t xml:space="preserve">Auditid ja intsidentidele reageerimine muutuvad võimalikuks. Logimine vastab standardi ISO/IEC 27001:2022 A-lisa meetmele 8.15, mille MIM6 loetleb eeltingimuste hulgas.   </w:t>
      </w:r>
      <w:r>
        <w:rPr>
          <w:b w:val="0"/>
          <w:i w:val="0"/>
          <w:color w:val="0B7485"/>
          <w:sz w:val="16"/>
        </w:rPr>
        <w:t>→ MIM6 R1.1, R1.3, 8.15</w:t>
      </w:r>
    </w:p>
    <w:p>
      <w:pPr>
        <w:spacing w:before="40" w:after="0"/>
      </w:pPr>
      <w:r>
        <w:rPr>
          <w:b/>
          <w:i w:val="0"/>
          <w:color w:val="0B7485"/>
          <w:sz w:val="16"/>
        </w:rPr>
        <w:t>KUULUB KÕRVALDAMISE JA KVALIFITSEERIMISE TINGIMUSTE, MITTE TEHNILISE KIRJELDUSE JUURDE</w:t>
      </w:r>
    </w:p>
    <w:p>
      <w:pPr>
        <w:spacing w:before="40" w:after="20"/>
      </w:pPr>
      <w:r>
        <w:rPr>
          <w:b/>
          <w:i w:val="0"/>
          <w:color w:val="2F3F9E"/>
          <w:sz w:val="22"/>
        </w:rPr>
        <w:t xml:space="preserve">☐  </w:t>
      </w:r>
      <w:r>
        <w:rPr>
          <w:b/>
          <w:i w:val="0"/>
          <w:color w:val="2F3F9E"/>
          <w:sz w:val="20"/>
        </w:rPr>
        <w:t xml:space="preserve">6.4  </w:t>
      </w:r>
      <w:r>
        <w:rPr>
          <w:b/>
          <w:i w:val="0"/>
          <w:sz w:val="20"/>
        </w:rPr>
        <w:t>Pakkuja tõendab vastavust standardile ISO/IEC 27001:2022 (või samaväärsele) tema hallatava teenuse osas.</w:t>
      </w:r>
    </w:p>
    <w:p>
      <w:pPr>
        <w:spacing w:before="40" w:after="140"/>
      </w:pPr>
      <w:r>
        <w:rPr>
          <w:b w:val="0"/>
          <w:i/>
          <w:color w:val="646B82"/>
          <w:sz w:val="18"/>
        </w:rPr>
        <w:t xml:space="preserve">Turvalisus on protsess, mitte vastuvõtmisel tehtav linnuke. Spetsifikatsioon viitab ISO/IEC 27001 meetmetele, mitte sertifikaadile.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Ühe süsteemi turvarike ei ava ust kõigisse süsteemidesse.</w:t>
            </w:r>
          </w:p>
          <w:p>
            <w:pPr>
              <w:spacing w:before="20" w:after="60"/>
            </w:pPr>
            <w:r>
              <w:rPr>
                <w:b/>
                <w:i w:val="0"/>
                <w:color w:val="2F3F9E"/>
                <w:sz w:val="18"/>
              </w:rPr>
              <w:t xml:space="preserve">•  </w:t>
            </w:r>
            <w:r>
              <w:rPr>
                <w:b w:val="0"/>
                <w:i w:val="0"/>
                <w:sz w:val="18"/>
              </w:rPr>
              <w:t>Kui NIS2 teile kohaldub, muutub selle ja riiklike kübereeskirjade järgimine märgatavalt lihtsamaks.</w:t>
            </w:r>
          </w:p>
          <w:p>
            <w:pPr>
              <w:spacing w:before="20" w:after="60"/>
            </w:pPr>
            <w:r>
              <w:rPr>
                <w:b/>
                <w:i w:val="0"/>
                <w:color w:val="2F3F9E"/>
                <w:sz w:val="18"/>
              </w:rPr>
              <w:t xml:space="preserve">•  </w:t>
            </w:r>
            <w:r>
              <w:rPr>
                <w:b w:val="0"/>
                <w:i w:val="0"/>
                <w:sz w:val="18"/>
              </w:rPr>
              <w:t>Pärast intsidenti näitavad logid, mis toimus ja kes tegutses.</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Ainult tootjapõhine sisselogimine.</w:t>
            </w:r>
          </w:p>
          <w:p>
            <w:pPr>
              <w:spacing w:before="20" w:after="60"/>
            </w:pPr>
            <w:r>
              <w:rPr>
                <w:b/>
                <w:i w:val="0"/>
                <w:color w:val="A02020"/>
                <w:sz w:val="18"/>
              </w:rPr>
              <w:t xml:space="preserve">•  </w:t>
            </w:r>
            <w:r>
              <w:rPr>
                <w:b w:val="0"/>
                <w:i w:val="0"/>
                <w:sz w:val="18"/>
              </w:rPr>
              <w:t>„Logid on saadaval taotluse alusel.”</w:t>
            </w:r>
          </w:p>
          <w:p>
            <w:pPr>
              <w:spacing w:before="20" w:after="60"/>
            </w:pPr>
            <w:r>
              <w:rPr>
                <w:b/>
                <w:i w:val="0"/>
                <w:color w:val="A02020"/>
                <w:sz w:val="18"/>
              </w:rPr>
              <w:t xml:space="preserve">•  </w:t>
            </w:r>
            <w:r>
              <w:rPr>
                <w:b w:val="0"/>
                <w:i w:val="0"/>
                <w:sz w:val="18"/>
              </w:rPr>
              <w:t>Jagatud administraatorikontod.</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Andmed on kättesaadavad ainult kasutajatele, kellel peaks olema neile juurdepääs</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Teabele ja muudele seotud varadele füüsilise ning loogilise juurdepääsu kontrollimise reeglid PEAVAD olema kehtestatud ja rakendatud lähtuvalt äri- ja infoturbe nõuetest. (ISO 27001 5.15 Juurdepääsu kontroll)</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Autentimisteabe määramine ja haldamine PEAB olema kontrollitud haldusprotsessiga, sealhulgas personali juhendamine autentimisteabe asjakohase käsitsemise kohta. (ISO 27001 5.17: Autentimisteave)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Teabe ja muude seotud varade juurdepääsuõigused PEAVAD olema määratud, üle vaadatud, muudetud ja tühistatud kooskõlas organisatsiooni valdkonnaspetsiifilise juurdepääsukontrolli poliitika ja reeglitega. (ISO 27001 5.18: Juurdepääsuõigused)</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Kasutajate päritud andmeid ei ole muudetud</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Krüptograafia tõhusa kasutamise reeglid, sealhulgas krüptovõtmete haldus, PEAVAD olema määratletud ja rakendatud. (ISO 27001 8.24 Krüptograafia kasutamine)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Kasutajate ligipääsetavad andmed pärinevad kontrollitud allikast</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Turvalised autentimistehnoloogiad ja -protseduurid peavad olema rakendatud lähtuvalt teabele juurdepääsu piirangutest ja valdkonnaspetsiifilisest juurdepääsukontrolli poliitikast. (ISO 27001 8.5 Turvaline autentimine)</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Mehhanismi kandidaat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Transpordikihi turvalisuse (TLS) protokoll, versioon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OAuth 2.0 autoriseerimisraamistik</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identiteedikiht autentimiseks OAuth 2.0 peal</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kontrollitavate volituste väljastamiseks ja esitamiseks</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Eel- ja järeltingimused (põhinevad ISO 27001 A-lisal): meede, millele käesolev teatmik viitab</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Logimine. Tuleb luua, talletada, kaitsta ja analüüsida logisid, mis salvestavad tegevusi, erandeid, tõrkeid ja muid asjakohaseid sündmusi.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Täielik spetsifikatsioon: </w:t>
      </w:r>
      <w:hyperlink r:id="rId17">
        <w:r>
          <w:rPr>
            <w:color w:val="2F3F9E"/>
            <w:u w:val="single"/>
            <w:sz w:val="18"/>
          </w:rPr>
          <w:t>https://mims.oascities.org/securing-data</w:t>
        </w:r>
      </w:hyperlink>
    </w:p>
    <w:p>
      <w:r>
        <w:br w:type="page"/>
      </w:r>
    </w:p>
    <w:p>
      <w:pPr>
        <w:spacing w:before="120" w:after="40"/>
      </w:pPr>
      <w:r>
        <w:rPr>
          <w:b/>
          <w:i w:val="0"/>
          <w:color w:val="2F3F9E"/>
          <w:sz w:val="36"/>
        </w:rPr>
        <w:t>MIM7 · Kas see töötab kaardil?</w:t>
      </w:r>
    </w:p>
    <w:p>
      <w:pPr>
        <w:spacing w:before="40" w:after="40"/>
      </w:pPr>
      <w:r>
        <w:rPr>
          <w:b w:val="0"/>
          <w:i w:val="0"/>
          <w:color w:val="646B82"/>
          <w:sz w:val="20"/>
        </w:rPr>
        <w:t xml:space="preserve">Ruumilised andmed   </w:t>
      </w:r>
      <w:hyperlink r:id="rId18">
        <w:r>
          <w:rPr>
            <w:color w:val="2F3F9E"/>
            <w:u w:val="single"/>
            <w:sz w:val="17.0"/>
          </w:rPr>
          <w:t>mims.oascities.org/geospatial-data</w:t>
        </w:r>
      </w:hyperlink>
    </w:p>
    <w:p>
      <w:pPr>
        <w:spacing w:before="120" w:after="200"/>
      </w:pPr>
      <w:r>
        <w:rPr>
          <w:b w:val="0"/>
          <w:i w:val="0"/>
          <w:sz w:val="20"/>
        </w:rPr>
        <w:t>Peaaegu kõigel, mis linnale kuulub, on asukoht. MIM7 tagab, et asukoht poleks kuvatõmmis: ruumiandmed liiguvad standardsete OGC liideste kaudu avatud vormingutes koos deklareeritud koordinaatsüsteemiga — nii sobitub iga ostetud kaardikiht iga juba olemasoleva kihiga.</w:t>
      </w:r>
    </w:p>
    <w:p>
      <w:pPr>
        <w:spacing w:before="40" w:after="20"/>
      </w:pPr>
      <w:r>
        <w:rPr>
          <w:b/>
          <w:i w:val="0"/>
          <w:color w:val="2F3F9E"/>
          <w:sz w:val="22"/>
        </w:rPr>
        <w:t xml:space="preserve">☐  </w:t>
      </w:r>
      <w:r>
        <w:rPr>
          <w:b/>
          <w:i w:val="0"/>
          <w:color w:val="2F3F9E"/>
          <w:sz w:val="20"/>
        </w:rPr>
        <w:t xml:space="preserve">7.1  </w:t>
      </w:r>
      <w:r>
        <w:rPr>
          <w:b/>
          <w:i w:val="0"/>
          <w:sz w:val="20"/>
        </w:rPr>
        <w:t>Ruumiandmed tehakse kättesaadavaks standardipõhiste liideste kaudu (OGC API Features, SensorThings; vanemate süsteemide puhul WFS).</w:t>
      </w:r>
    </w:p>
    <w:p>
      <w:pPr>
        <w:spacing w:before="40" w:after="140"/>
      </w:pPr>
      <w:r>
        <w:rPr>
          <w:b w:val="0"/>
          <w:i/>
          <w:color w:val="646B82"/>
          <w:sz w:val="18"/>
        </w:rPr>
        <w:t xml:space="preserve">Kõik turul olevad GIS-tööriistad suudavad neid kohe lugeda.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Ruumiandmed on kodeeritud avatud vormingutes (GeoJSON, CityJSON; vajadusel GML/CityGML).</w:t>
      </w:r>
    </w:p>
    <w:p>
      <w:pPr>
        <w:spacing w:before="40" w:after="140"/>
      </w:pPr>
      <w:r>
        <w:rPr>
          <w:b w:val="0"/>
          <w:i/>
          <w:color w:val="646B82"/>
          <w:sz w:val="18"/>
        </w:rPr>
        <w:t xml:space="preserve">Ei mingeid konverterite litsentse ega tupikuid.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Koordinaatsüsteem on alati deklareeritud (EPSG kood) ja andmed on teisendatavad ühtsesse koordinaatsüsteemi.</w:t>
      </w:r>
    </w:p>
    <w:p>
      <w:pPr>
        <w:spacing w:before="40" w:after="140"/>
      </w:pPr>
      <w:r>
        <w:rPr>
          <w:b w:val="0"/>
          <w:i/>
          <w:color w:val="646B82"/>
          <w:sz w:val="18"/>
        </w:rPr>
        <w:t xml:space="preserve">Erinevatest allikatest pärinevad kihid asetuvad kaardil täpselt kohakuti.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Ruumiobjektid kannavad samu püsivaid identifikaatoreid nagu MIM1-s.</w:t>
      </w:r>
    </w:p>
    <w:p>
      <w:pPr>
        <w:spacing w:before="40" w:after="140"/>
      </w:pPr>
      <w:r>
        <w:rPr>
          <w:b w:val="0"/>
          <w:i/>
          <w:color w:val="646B82"/>
          <w:sz w:val="18"/>
        </w:rPr>
        <w:t xml:space="preserve">Punkt kaardil ja kirje registris tähistavad täpselt sama objekti.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Üks linnakaart kümne tarnijapõhise vaaturi asemel.</w:t>
            </w:r>
          </w:p>
          <w:p>
            <w:pPr>
              <w:spacing w:before="20" w:after="60"/>
            </w:pPr>
            <w:r>
              <w:rPr>
                <w:b/>
                <w:i w:val="0"/>
                <w:color w:val="2F3F9E"/>
                <w:sz w:val="18"/>
              </w:rPr>
              <w:t xml:space="preserve">•  </w:t>
            </w:r>
            <w:r>
              <w:rPr>
                <w:b w:val="0"/>
                <w:i w:val="0"/>
                <w:sz w:val="18"/>
              </w:rPr>
              <w:t>INSPIRE ja riiklike geoportaalide nõuete täitmine muutub lihtsamaks.</w:t>
            </w:r>
          </w:p>
          <w:p>
            <w:pPr>
              <w:spacing w:before="20" w:after="60"/>
            </w:pPr>
            <w:r>
              <w:rPr>
                <w:b/>
                <w:i w:val="0"/>
                <w:color w:val="2F3F9E"/>
                <w:sz w:val="18"/>
              </w:rPr>
              <w:t xml:space="preserve">•  </w:t>
            </w:r>
            <w:r>
              <w:rPr>
                <w:b w:val="0"/>
                <w:i w:val="0"/>
                <w:sz w:val="18"/>
              </w:rPr>
              <w:t>3D- ja BIM-andmed saab hiljem lisada samasse pilti.</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Kaardiandmed on kasutatavad ainult tarnija vaaturis.</w:t>
            </w:r>
          </w:p>
          <w:p>
            <w:pPr>
              <w:spacing w:before="20" w:after="60"/>
            </w:pPr>
            <w:r>
              <w:rPr>
                <w:b/>
                <w:i w:val="0"/>
                <w:color w:val="A02020"/>
                <w:sz w:val="18"/>
              </w:rPr>
              <w:t xml:space="preserve">•  </w:t>
            </w:r>
            <w:r>
              <w:rPr>
                <w:b w:val="0"/>
                <w:i w:val="0"/>
                <w:sz w:val="18"/>
              </w:rPr>
              <w:t>„Eksport PDF-i või kuvatõmmisena.”</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Linnad ja kogukonnad saavad ruumiandmeid hõlpsasti edastada sisemiste ja väliste (sh asjade internetiga seotud) IT-süsteemide vahel</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Ruumiandmed peavad olema kättesaadavaks tehtud standardipõhise veebiteenuse liidese kaudu.</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Linnad ja kogukonnad saavad integreerida eri allikatest (nt geoandmed ja ehitusinfo mudelid) pärinevaid 2D- ja 3D-ruumiandmeid ning jagada neid andmeid omavahel koostalitlusvõimeliselt</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Ruumiandmed peavad olema kodeeritud avatud standardeid kasutades. Soovitatav on kasutada OGC ja BuildingSMART Internationali asjakohaseid standardeid.</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Linnad ja kogukonnad saavad integreerida ruumiandmeid muude andmetega, mis pakuvad konteksti kohta lisateavet</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Kõik andmestikud, mida kasutatakse ruumiandmetega hõlmatud konteksti kohta lisateabe pakkumiseks, peavad vastama standarditele MIM1 ja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Linnadel ja kogukondadel on järjepidev ja püsiv viis ruumiandmeallikates sisalduvate kõigi ruumiobjektide, asjade või olemite konkreetsete eksemplaride kirjeldamiseks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Andmestikes kasutatavate mis tahes olemite konkreetsete eksemplaride tuvastamiseks peab kasutama kordumatuid ja püsivaid identifikaatoreid. (Vt MIM1: Andmete seostamine.)</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Andmejagamisel kasutatavad koordinaatsüsteemid (CRS) on hõlpsasti teisendatavad ühtsesse koordinaatsüsteemi</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Koordinaatsüsteemid (CRS) peavad vastama standarditele ning esitada tuleb teave selle kohta, millist standardit (nt EPSG:4326, EPSG:3857) kasutatakse. See hõlmab EPSG numbrit või WGS numbrit koos teabega mis tahes riiklikel süsteemidel põhinevate variatsioonide kohta, nagu Läti LKS-92, et andmeid saaks teisendada ühtsesse koordinaatsüsteemi. (Märkus: ELis on ruumiandmete puhul nõutav kasutada INSPIRE direktiivile vastavaid metaandmeid, sealhulgas metaandmeid, mida on vaja koordinaatsüsteemi teabe kirjeldamiseks.)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Täielik spetsifikatsioon: </w:t>
      </w:r>
      <w:hyperlink r:id="rId18">
        <w:r>
          <w:rPr>
            <w:color w:val="2F3F9E"/>
            <w:u w:val="single"/>
            <w:sz w:val="18"/>
          </w:rPr>
          <w:t>https://mims.oascities.org/geospatial-data</w:t>
        </w:r>
      </w:hyperlink>
    </w:p>
    <w:p>
      <w:r>
        <w:br w:type="page"/>
      </w:r>
    </w:p>
    <w:p>
      <w:pPr>
        <w:spacing w:before="120" w:after="40"/>
      </w:pPr>
      <w:r>
        <w:rPr>
          <w:b/>
          <w:i w:val="0"/>
          <w:color w:val="2F3F9E"/>
          <w:sz w:val="36"/>
        </w:rPr>
        <w:t>MIM8 · Kas meie digitaalne kaksik saab areneda?</w:t>
      </w:r>
    </w:p>
    <w:p>
      <w:pPr>
        <w:spacing w:before="40" w:after="40"/>
      </w:pPr>
      <w:r>
        <w:rPr>
          <w:b w:val="0"/>
          <w:i w:val="0"/>
          <w:color w:val="646B82"/>
          <w:sz w:val="20"/>
        </w:rPr>
        <w:t xml:space="preserve">Kohalikud digitaalsed kaksikud   </w:t>
      </w:r>
      <w:hyperlink r:id="rId19">
        <w:r>
          <w:rPr>
            <w:color w:val="2F3F9E"/>
            <w:u w:val="single"/>
            <w:sz w:val="17.0"/>
          </w:rPr>
          <w:t>mims.oascities.org/local-digital-twins</w:t>
        </w:r>
      </w:hyperlink>
    </w:p>
    <w:p>
      <w:pPr>
        <w:spacing w:before="120" w:after="200"/>
      </w:pPr>
      <w:r>
        <w:rPr>
          <w:b w:val="0"/>
          <w:i w:val="0"/>
          <w:sz w:val="20"/>
        </w:rPr>
        <w:t>Digitaalne kaksik on pikaajaline investeering: andmed, 3D-mudelid, simulatsioonid, otsused. MIM8 kaitseb seda investeeringut — kaksiku andmed ja mudelid jäävad ligipääsetavaks ja dokumenteerituks, tulemused on korratavad ja ühe projekti komponente saab kasutada järgmises. Kasutage seda lehte kaksikuplatvormide, simulatsioonimudelite või 3D-linnatööriistade hankimisel.</w:t>
      </w:r>
    </w:p>
    <w:p>
      <w:pPr>
        <w:spacing w:before="40" w:after="20"/>
      </w:pPr>
      <w:r>
        <w:rPr>
          <w:b/>
          <w:i w:val="0"/>
          <w:color w:val="2F3F9E"/>
          <w:sz w:val="22"/>
        </w:rPr>
        <w:t xml:space="preserve">☐  </w:t>
      </w:r>
      <w:r>
        <w:rPr>
          <w:b/>
          <w:i w:val="0"/>
          <w:color w:val="2F3F9E"/>
          <w:sz w:val="20"/>
        </w:rPr>
        <w:t xml:space="preserve">8.1  </w:t>
      </w:r>
      <w:r>
        <w:rPr>
          <w:b/>
          <w:i w:val="0"/>
          <w:sz w:val="20"/>
        </w:rPr>
        <w:t>Andmestikud, mudelite sisendid ja simulatsioonide väljundid on ligipääsetavad API-de kaudu (vastavalt MIM0-le), mitte kaksikusse lukustatud.</w:t>
      </w:r>
    </w:p>
    <w:p>
      <w:pPr>
        <w:spacing w:before="40" w:after="140"/>
      </w:pPr>
      <w:r>
        <w:rPr>
          <w:b w:val="0"/>
          <w:i/>
          <w:color w:val="646B82"/>
          <w:sz w:val="18"/>
        </w:rPr>
        <w:t xml:space="preserve">Tulemused toidavad aruandeid, armatuurlaudu ja järgmist projekti.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Mudelid on dokumenteeritud (meetod, parameetrid, sisendid/väljundid) ja väljakutsutavad dokumenteeritud liidese kaudu.</w:t>
      </w:r>
    </w:p>
    <w:p>
      <w:pPr>
        <w:spacing w:before="40" w:after="140"/>
      </w:pPr>
      <w:r>
        <w:rPr>
          <w:b w:val="0"/>
          <w:i/>
          <w:color w:val="646B82"/>
          <w:sz w:val="18"/>
        </w:rPr>
        <w:t xml:space="preserve">Ühe korra hangitud üleujutusmudelit saavad taaskasutada teised osakonnad ja linnad.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Väljundid kasutavad standardvorminguid (GeoJSON, CityJSON, 3D Tiles, NetCDF…), mis on loetavad kolmandate osapoolte tööriistadega.</w:t>
      </w:r>
    </w:p>
    <w:p>
      <w:pPr>
        <w:spacing w:before="40" w:after="140"/>
      </w:pPr>
      <w:r>
        <w:rPr>
          <w:b w:val="0"/>
          <w:i/>
          <w:color w:val="646B82"/>
          <w:sz w:val="18"/>
        </w:rPr>
        <w:t xml:space="preserve">Visualiseerimine ja analüüs jäävad avatud konkurentsiga turgudeks.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Töövood salvestavad päritolu: milline andmeversioon, mudel ja parameetrid tulemuse lõid.</w:t>
      </w:r>
    </w:p>
    <w:p>
      <w:pPr>
        <w:spacing w:before="40" w:after="140"/>
      </w:pPr>
      <w:r>
        <w:rPr>
          <w:b w:val="0"/>
          <w:i/>
          <w:color w:val="646B82"/>
          <w:sz w:val="18"/>
        </w:rPr>
        <w:t xml:space="preserve">Kaksikul põhinevaid otsuseid saab hiljem selgitada ja põhjendada.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 SEE ON OLULINE</w:t>
            </w:r>
          </w:p>
          <w:p>
            <w:pPr>
              <w:spacing w:before="20" w:after="60"/>
            </w:pPr>
            <w:r>
              <w:rPr>
                <w:b/>
                <w:i w:val="0"/>
                <w:color w:val="2F3F9E"/>
                <w:sz w:val="18"/>
              </w:rPr>
              <w:t xml:space="preserve">•  </w:t>
            </w:r>
            <w:r>
              <w:rPr>
                <w:b w:val="0"/>
                <w:i w:val="0"/>
                <w:sz w:val="18"/>
              </w:rPr>
              <w:t>Kaksik kestab kauem kui ükski üksik tarnija või projektieelarve.</w:t>
            </w:r>
          </w:p>
          <w:p>
            <w:pPr>
              <w:spacing w:before="20" w:after="60"/>
            </w:pPr>
            <w:r>
              <w:rPr>
                <w:b/>
                <w:i w:val="0"/>
                <w:color w:val="2F3F9E"/>
                <w:sz w:val="18"/>
              </w:rPr>
              <w:t xml:space="preserve">•  </w:t>
            </w:r>
            <w:r>
              <w:rPr>
                <w:b w:val="0"/>
                <w:i w:val="0"/>
                <w:sz w:val="18"/>
              </w:rPr>
              <w:t>Simulatsioone saab omavalitsuse otsustusprotsessis kontrollida, korrata ja põhjendada.</w:t>
            </w:r>
          </w:p>
          <w:p>
            <w:pPr>
              <w:spacing w:before="20" w:after="60"/>
            </w:pPr>
            <w:r>
              <w:rPr>
                <w:b/>
                <w:i w:val="0"/>
                <w:color w:val="2F3F9E"/>
                <w:sz w:val="18"/>
              </w:rPr>
              <w:t xml:space="preserve">•  </w:t>
            </w:r>
            <w:r>
              <w:rPr>
                <w:b w:val="0"/>
                <w:i w:val="0"/>
                <w:sz w:val="18"/>
              </w:rPr>
              <w:t>Mudeleid ja komponente saab linnade vahel jagada.</w:t>
            </w:r>
          </w:p>
        </w:tc>
        <w:tc>
          <w:tcPr>
            <w:tcW w:type="dxa" w:w="4986"/>
            <w:shd w:val="clear" w:fill="FBEEEE"/>
          </w:tcPr>
          <w:p>
            <w:pPr>
              <w:spacing w:before="20" w:after="60"/>
            </w:pPr>
            <w:r>
              <w:rPr>
                <w:b/>
                <w:i w:val="0"/>
                <w:color w:val="A02020"/>
                <w:sz w:val="18"/>
              </w:rPr>
              <w:t>OHUMÄRGID</w:t>
            </w:r>
          </w:p>
          <w:p>
            <w:pPr>
              <w:spacing w:before="20" w:after="60"/>
            </w:pPr>
            <w:r>
              <w:rPr>
                <w:b/>
                <w:i w:val="0"/>
                <w:color w:val="A02020"/>
                <w:sz w:val="18"/>
              </w:rPr>
              <w:t xml:space="preserve">•  </w:t>
            </w:r>
            <w:r>
              <w:rPr>
                <w:b w:val="0"/>
                <w:i w:val="0"/>
                <w:sz w:val="18"/>
              </w:rPr>
              <w:t>Simulatsiooni tulemused on vaadatavad ainult tarnija portaalis.</w:t>
            </w:r>
          </w:p>
          <w:p>
            <w:pPr>
              <w:spacing w:before="20" w:after="60"/>
            </w:pPr>
            <w:r>
              <w:rPr>
                <w:b/>
                <w:i w:val="0"/>
                <w:color w:val="A02020"/>
                <w:sz w:val="18"/>
              </w:rPr>
              <w:t xml:space="preserve">•  </w:t>
            </w:r>
            <w:r>
              <w:rPr>
                <w:b w:val="0"/>
                <w:i w:val="0"/>
                <w:sz w:val="18"/>
              </w:rPr>
              <w:t>Mudelid on suletud mustad kastid ilma metaandmeteta.</w:t>
            </w:r>
          </w:p>
        </w:tc>
      </w:tr>
    </w:tbl>
    <w:p>
      <w:pPr>
        <w:spacing w:before="280" w:after="40"/>
      </w:pPr>
      <w:r>
        <w:rPr>
          <w:b/>
          <w:i w:val="0"/>
          <w:color w:val="2F3F9E"/>
          <w:sz w:val="26"/>
        </w:rPr>
        <w:t>Mida spetsifikatsioon ütleb</w:t>
      </w:r>
    </w:p>
    <w:p>
      <w:pPr>
        <w:spacing w:before="40" w:after="120"/>
      </w:pPr>
      <w:r>
        <w:rPr>
          <w:b w:val="0"/>
          <w:i w:val="0"/>
          <w:color w:val="646B82"/>
          <w:sz w:val="18"/>
        </w:rPr>
        <w:t>Selle MIMi iga nõue sõna-sõnalt standardist MIMs Plus 9.0: Spetsifikatsioon on koostatud ainult inglise keeles: eestikeelne tekst on käesoleva teatmiku autori mitteametlik tõlge; selle all olev ingliskeelne originaal on siduv.</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Pakkuda juurdepääsu LDT-s kasutatavatele andmestikele, sealhulgas staatilistele, reaalaja- ja simulatsiooniandmetele ning arvutusmudelitele</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peab pakkuma juurdepääsu simulatsioonide väljunditele ja arvutusmudelite sisenditele, kui neid vajatakse LDT töövoogude osana.</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peaks tegema selget vahet algallika toorandmete, teisendatud töövoovalmis andmete, mudeli sisendite ja mudeli väljundite vahel.</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Vahetada andmeid välissüsteemide ja teiste LDT-dega, kasutades koostalitlusvõimelisi liideseid</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See võimekus tugineb andmevahetuses standardile MIM3 (Andmevahetus).</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Taaskasutada deterministlikke või tehisintellekti mudeleid eri valdkondades, kogukondades, kasutusjuhtudes ja/või LDT-des</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Mudel peaks pakkuma standardseid mudeli metaandmeid, sealhulgas oma meetodite ja parameetrite ning andmeparameetrite kirjeldust (kas väärtuse või viitena). Sel eesmärgil peaks kasutama ühiseid metaandmete standardeid.</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Mudel peab pakkuma liidest või olema väljakutsutav dokumenteeritud liidese kaudu, eelistatavalt tuntud standardiseeritud API abil. Mudeli tulemuseks olevat andmestikku tuleb kirjeldada (andmete tasemel).</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Uudsete meetodite (suured keelemudelid, agendipõhine tehisintellekt jne) usaldusväärne, töökindel ja eetiline kasutamine peaks olema tagatud. Kallutatus peaks vajaduse korral olema viidud miinimumini. Selle tagamiseks kasutatavaid meetodeid peaks kirjeldama.</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Mudel peab suutma andmetele juurde pääseda lõppkasutaja või organisatsiooni nimel. Vt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Tehisintellekti mudelites kasutatavate andmete puhul peaks olema tagatud päritolu ja usaldusväärsus. Mõnel juhul peab olema märgitud ametlik allikas, näiteks valitsusasutus.</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Koordineerida ja hallata andmeid, mudeleid ja töötlemise töövooge LDT sees ja LDT-de vahel</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toetab töövooge, mis ühendavad andmeallikaid, andmete teisendusi, mudeli käivitamist, simulatsiooniprotsesse ja väljundeid.</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aheldab töövoo samme, kus ühe sammu väljundit saab kasutada teise sammu sisendina.</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jälgib töövoo täitmise olekut, sealhulgas lõpuleviidud, ebaõnnestunud ja katkestatud protsesse.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salvestab töövoo päritolu, sealhulgas kasutatud andmestikud (koos versiooni ja ajatempliga), käivitatud mudelid, valitud parameetrid ja loodud väljundid.</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Pakkuda ühistest alusandmetest ja -mudelitest andmete ja tulemuste mitut vaadet (nt 2D, 3D, töölauad) interaktsiooniks ja võrdluseks</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pakub metaandmeid, mis selgitavad, mida visualiseeritakse, sealhulgas ajatemplit, ruumilist ulatust, andmeallikat ning vajadusel stsenaariumi- ja variandieeldusi.</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toetab erinevaid interaktiivse visualiseerimise tüüpe, nagu 2D-kaardid, 3D-stseenid, armatuurlauad, aruanded või avalikud vaated.</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Tagada, et LDT-de sees ja vahel vahetatavaid andmeid (ja simulatsioonide väljundeid) saaks järjepidevalt tõlgendada jagatud või vastendatud semantika ja selge päritolu kaudu</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peaks dokumenteerima lahendamata semantilised lüngad, eeldused või vastendused, mis võivad mõjutada tulemuste tõlgendamist, korduvkasutamist või võrdlemist.</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Mehhanismid (aktiivses arenduses)</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API-põhine LDT ressursside juurdepääs</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Standardiseeritud andme- ja väljundvormingud</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Mudel teenusena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 töövoogude orkestreerimine</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Juurdepääs mitme vaatega väljunditele ja visualiseeringutele</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Täielik spetsifikatsioon: </w:t>
      </w:r>
      <w:hyperlink r:id="rId19">
        <w:r>
          <w:rPr>
            <w:color w:val="2F3F9E"/>
            <w:u w:val="single"/>
            <w:sz w:val="18"/>
          </w:rPr>
          <w:t>https://mims.oascities.org/local-digital-twins</w:t>
        </w:r>
      </w:hyperlink>
    </w:p>
    <w:p>
      <w:r>
        <w:br w:type="page"/>
      </w:r>
    </w:p>
    <w:p>
      <w:pPr>
        <w:spacing w:before="120" w:after="40"/>
      </w:pPr>
      <w:r>
        <w:rPr>
          <w:b/>
          <w:i w:val="0"/>
          <w:color w:val="2F3F9E"/>
          <w:sz w:val="36"/>
        </w:rPr>
        <w:t>Läbivad hanketingimused</w:t>
      </w:r>
    </w:p>
    <w:p>
      <w:pPr>
        <w:spacing w:before="40" w:after="120"/>
      </w:pPr>
      <w:r>
        <w:rPr>
          <w:b/>
          <w:i w:val="0"/>
          <w:color w:val="0B7485"/>
          <w:sz w:val="22"/>
        </w:rPr>
        <w:t>Kaitsemeetmed tarnijalukustuse vastu</w:t>
      </w:r>
    </w:p>
    <w:p>
      <w:pPr>
        <w:spacing w:before="40" w:after="200"/>
      </w:pPr>
      <w:r>
        <w:rPr>
          <w:b w:val="0"/>
          <w:i w:val="0"/>
          <w:sz w:val="20"/>
        </w:rPr>
        <w:t>Need klauslid kuuluvad igasse hankesse, mida iganes te ka ei ostaks. Need pärinevad MIMide ja liikumise living-in.eu hankepraktikast. Enamik neist ei toetu ühele kindlale spetsifikatsiooni nõudele, mistõttu puuduvad neil viitekoodid (API versioonihaldus on ühtlasi MIM0 C2 soovitus). Nende lisamine maksab vähe; nende välja jätmine võib maksta kõik.</w:t>
      </w:r>
    </w:p>
    <w:p>
      <w:pPr>
        <w:spacing w:before="40" w:after="20"/>
      </w:pPr>
      <w:r>
        <w:rPr>
          <w:b/>
          <w:i w:val="0"/>
          <w:color w:val="2F3F9E"/>
          <w:sz w:val="22"/>
        </w:rPr>
        <w:t xml:space="preserve">☐  </w:t>
      </w:r>
      <w:r>
        <w:rPr>
          <w:b/>
          <w:i w:val="0"/>
          <w:color w:val="2F3F9E"/>
          <w:sz w:val="21"/>
        </w:rPr>
        <w:t>X.1  Lepingu lõppemise klausel</w:t>
      </w:r>
    </w:p>
    <w:p>
      <w:pPr>
        <w:spacing w:before="40" w:after="160"/>
      </w:pPr>
      <w:r>
        <w:rPr>
          <w:b w:val="0"/>
          <w:i w:val="0"/>
          <w:sz w:val="20"/>
        </w:rPr>
        <w:t>Lepingu lõppemisel antakse kõik linna andmed (ja seadistused) tasuta üle avatud dokumenteeritud vormingutes.</w:t>
      </w:r>
    </w:p>
    <w:p>
      <w:pPr>
        <w:spacing w:before="40" w:after="20"/>
      </w:pPr>
      <w:r>
        <w:rPr>
          <w:b/>
          <w:i w:val="0"/>
          <w:color w:val="2F3F9E"/>
          <w:sz w:val="22"/>
        </w:rPr>
        <w:t xml:space="preserve">☐  </w:t>
      </w:r>
      <w:r>
        <w:rPr>
          <w:b/>
          <w:i w:val="0"/>
          <w:color w:val="2F3F9E"/>
          <w:sz w:val="21"/>
        </w:rPr>
        <w:t>X.2  Õigused andmetele</w:t>
      </w:r>
    </w:p>
    <w:p>
      <w:pPr>
        <w:spacing w:before="40" w:after="160"/>
      </w:pPr>
      <w:r>
        <w:rPr>
          <w:b w:val="0"/>
          <w:i w:val="0"/>
          <w:sz w:val="20"/>
        </w:rPr>
        <w:t>Kõik õigused lepingu alusel kogutud ja tuletatud andmetele kuuluvad hankijale.</w:t>
      </w:r>
    </w:p>
    <w:p>
      <w:pPr>
        <w:spacing w:before="40" w:after="20"/>
      </w:pPr>
      <w:r>
        <w:rPr>
          <w:b/>
          <w:i w:val="0"/>
          <w:color w:val="2F3F9E"/>
          <w:sz w:val="22"/>
        </w:rPr>
        <w:t xml:space="preserve">☐  </w:t>
      </w:r>
      <w:r>
        <w:rPr>
          <w:b/>
          <w:i w:val="0"/>
          <w:color w:val="2F3F9E"/>
          <w:sz w:val="21"/>
        </w:rPr>
        <w:t>X.3  Oma andmete tasuta kättesaadavus</w:t>
      </w:r>
    </w:p>
    <w:p>
      <w:pPr>
        <w:spacing w:before="40" w:after="160"/>
      </w:pPr>
      <w:r>
        <w:rPr>
          <w:b w:val="0"/>
          <w:i w:val="0"/>
          <w:sz w:val="20"/>
        </w:rPr>
        <w:t>Hankija ei maksa oma andmetele juurdepääsu eest tasu ei kasutaja ega päringu kohta.</w:t>
      </w:r>
    </w:p>
    <w:p>
      <w:pPr>
        <w:spacing w:before="40" w:after="20"/>
      </w:pPr>
      <w:r>
        <w:rPr>
          <w:b/>
          <w:i w:val="0"/>
          <w:color w:val="2F3F9E"/>
          <w:sz w:val="22"/>
        </w:rPr>
        <w:t xml:space="preserve">☐  </w:t>
      </w:r>
      <w:r>
        <w:rPr>
          <w:b/>
          <w:i w:val="0"/>
          <w:color w:val="2F3F9E"/>
          <w:sz w:val="21"/>
        </w:rPr>
        <w:t>X.4  API stabiilsus ja versioonihaldus</w:t>
      </w:r>
    </w:p>
    <w:p>
      <w:pPr>
        <w:spacing w:before="40" w:after="160"/>
      </w:pPr>
      <w:r>
        <w:rPr>
          <w:b w:val="0"/>
          <w:i w:val="0"/>
          <w:sz w:val="20"/>
        </w:rPr>
        <w:t>Tarnija tagab API tagasiühilduvuse kogu lepingu kehtivuse ajal. Ühildumatutest muudatustest teavitatakse vähemalt 6 kuud ette ja need avaldatakse uue versioonina, samal ajal kui eelmine versioon jääb kättesaadavaks kuni kokkulepitud üleminekukuupäevani.</w:t>
      </w:r>
    </w:p>
    <w:p>
      <w:pPr>
        <w:spacing w:before="40" w:after="20"/>
      </w:pPr>
      <w:r>
        <w:rPr>
          <w:b/>
          <w:i w:val="0"/>
          <w:color w:val="2F3F9E"/>
          <w:sz w:val="22"/>
        </w:rPr>
        <w:t xml:space="preserve">☐  </w:t>
      </w:r>
      <w:r>
        <w:rPr>
          <w:b/>
          <w:i w:val="0"/>
          <w:color w:val="2F3F9E"/>
          <w:sz w:val="21"/>
        </w:rPr>
        <w:t>X.5  Näidata, mitte lubada</w:t>
      </w:r>
    </w:p>
    <w:p>
      <w:pPr>
        <w:spacing w:before="40" w:after="160"/>
      </w:pPr>
      <w:r>
        <w:rPr>
          <w:b w:val="0"/>
          <w:i w:val="0"/>
          <w:sz w:val="20"/>
        </w:rPr>
        <w:t>Pakkujad tõendavad nõuetele vastavust pakkumuste hindamise käigus, mitte ei esita pelgalt kinnitusi. API puhul tähendab see avaldatud interaktiivset dokumentatsiooni (nt OpenAPI) ja reaalset päringut, mis tagastab kehtivad andmed. Iga märgitud punkti testitakse üleandmisel uuesti.</w:t>
      </w:r>
    </w:p>
    <w:p>
      <w:pPr>
        <w:spacing w:before="40" w:after="20"/>
      </w:pPr>
      <w:r>
        <w:rPr>
          <w:b/>
          <w:i w:val="0"/>
          <w:color w:val="2F3F9E"/>
          <w:sz w:val="22"/>
        </w:rPr>
        <w:t xml:space="preserve">☐  </w:t>
      </w:r>
      <w:r>
        <w:rPr>
          <w:b/>
          <w:i w:val="0"/>
          <w:color w:val="2F3F9E"/>
          <w:sz w:val="21"/>
        </w:rPr>
        <w:t>X.6  Avatud standardite nimetamine</w:t>
      </w:r>
    </w:p>
    <w:p>
      <w:pPr>
        <w:spacing w:before="40" w:after="160"/>
      </w:pPr>
      <w:r>
        <w:rPr>
          <w:b w:val="0"/>
          <w:i w:val="0"/>
          <w:sz w:val="20"/>
        </w:rPr>
        <w:t>Hankes nimetatakse konkreetsed standardid; väited ühilduvuse kohta peavad viitama täpsele liidesele ja versioonile. Iga viide standardile või tehnilisele kirjeldusele lubab samaväärset lahendust; pakkuja tõendab samaväärsust.</w:t>
      </w:r>
    </w:p>
    <w:p>
      <w:pPr>
        <w:spacing w:before="40" w:after="20"/>
      </w:pPr>
      <w:r>
        <w:rPr>
          <w:b/>
          <w:i w:val="0"/>
          <w:color w:val="2F3F9E"/>
          <w:sz w:val="22"/>
        </w:rPr>
        <w:t xml:space="preserve">☐  </w:t>
      </w:r>
      <w:r>
        <w:rPr>
          <w:b/>
          <w:i w:val="0"/>
          <w:color w:val="2F3F9E"/>
          <w:sz w:val="21"/>
        </w:rPr>
        <w:t>X.7  MIMide vastavusdeklaratsioon</w:t>
      </w:r>
    </w:p>
    <w:p>
      <w:pPr>
        <w:spacing w:before="40" w:after="160"/>
      </w:pPr>
      <w:r>
        <w:rPr>
          <w:b w:val="0"/>
          <w:i w:val="0"/>
          <w:sz w:val="20"/>
        </w:rPr>
        <w:t>Pakkuja täidab vastavustabeli (lk 28); sellest saab lepingu lisa.</w:t>
      </w:r>
    </w:p>
    <w:p>
      <w:r>
        <w:br w:type="page"/>
      </w:r>
    </w:p>
    <w:p>
      <w:pPr>
        <w:spacing w:before="120" w:after="160"/>
      </w:pPr>
      <w:r>
        <w:rPr>
          <w:b/>
          <w:i w:val="0"/>
          <w:color w:val="2F3F9E"/>
          <w:sz w:val="36"/>
        </w:rPr>
        <w:t>Näide: linn ostab õhukvaliteedi sensorite võrgustiku</w:t>
      </w:r>
    </w:p>
    <w:p>
      <w:pPr>
        <w:spacing w:before="40" w:after="160"/>
      </w:pPr>
      <w:r>
        <w:rPr>
          <w:b w:val="0"/>
          <w:i w:val="0"/>
          <w:sz w:val="20"/>
        </w:rPr>
        <w:t>Märgitud lehed: MIM0, MIM1, MIM2, MIM6 ja MIM7 (andmed lähevad kaardile). MIM3-st ainult punkt 3.1 (õhukvaliteedi andmed avaldatakse avaandmetena, seega kuuluvad need kataloogi); MIM8 ei kohaldu: süsteem ei ole digitaalne kaksik.</w:t>
      </w:r>
    </w:p>
    <w:p>
      <w:pPr>
        <w:spacing w:before="40" w:after="80"/>
      </w:pPr>
      <w:r>
        <w:rPr>
          <w:b/>
          <w:i w:val="0"/>
          <w:color w:val="2F3F9E"/>
          <w:sz w:val="22"/>
        </w:rPr>
        <w:t>Mis kuhu läheb</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Direktiivi 2014/24/EL mõiste</w:t>
            </w:r>
          </w:p>
        </w:tc>
        <w:tc>
          <w:tcPr>
            <w:tcW w:type="dxa" w:w="3324"/>
            <w:shd w:val="clear" w:fill="EEF0FB"/>
          </w:tcPr>
          <w:p>
            <w:r>
              <w:rPr>
                <w:b/>
                <w:i w:val="0"/>
                <w:color w:val="2F3F9E"/>
                <w:sz w:val="18"/>
              </w:rPr>
              <w:t>Mida sinna märkida</w:t>
            </w:r>
          </w:p>
        </w:tc>
      </w:tr>
      <w:tr>
        <w:tc>
          <w:tcPr>
            <w:tcW w:type="dxa" w:w="3324"/>
          </w:tcPr>
          <w:p>
            <w:r>
              <w:rPr>
                <w:b/>
                <w:i w:val="0"/>
                <w:color w:val="2F3F9E"/>
                <w:sz w:val="18"/>
              </w:rPr>
              <w:t>Tehniline kirjeldus</w:t>
            </w:r>
          </w:p>
        </w:tc>
        <w:tc>
          <w:tcPr>
            <w:tcW w:type="dxa" w:w="3324"/>
          </w:tcPr>
          <w:p>
            <w:r>
              <w:rPr>
                <w:b w:val="0"/>
                <w:i w:val="0"/>
                <w:color w:val="646B82"/>
                <w:sz w:val="17"/>
              </w:rPr>
              <w:t>tehniline kirjeldus (artikkel 42)</w:t>
            </w:r>
          </w:p>
        </w:tc>
        <w:tc>
          <w:tcPr>
            <w:tcW w:type="dxa" w:w="3324"/>
          </w:tcPr>
          <w:p>
            <w:r>
              <w:rPr>
                <w:b w:val="0"/>
                <w:i w:val="0"/>
                <w:sz w:val="18"/>
              </w:rPr>
              <w:t>MIM0, MIM1, MIM2, MIM3 (ainult 3.1), MIM6 (v.a 6.4) ja MIM7 märgitud punktid sõna-sõnalt koos koodiga, pluss lause samaväärsuse kohta</w:t>
            </w:r>
          </w:p>
        </w:tc>
      </w:tr>
      <w:tr>
        <w:tc>
          <w:tcPr>
            <w:tcW w:type="dxa" w:w="3324"/>
          </w:tcPr>
          <w:p>
            <w:r>
              <w:rPr>
                <w:b/>
                <w:i w:val="0"/>
                <w:color w:val="2F3F9E"/>
                <w:sz w:val="18"/>
              </w:rPr>
              <w:t>Kvalifitseerimise tingimused</w:t>
            </w:r>
          </w:p>
        </w:tc>
        <w:tc>
          <w:tcPr>
            <w:tcW w:type="dxa" w:w="3324"/>
          </w:tcPr>
          <w:p>
            <w:r>
              <w:rPr>
                <w:b w:val="0"/>
                <w:i w:val="0"/>
                <w:color w:val="646B82"/>
                <w:sz w:val="17"/>
              </w:rPr>
              <w:t>valikukriteeriumid (artiklid 58 ja 62)</w:t>
            </w:r>
          </w:p>
        </w:tc>
        <w:tc>
          <w:tcPr>
            <w:tcW w:type="dxa" w:w="3324"/>
          </w:tcPr>
          <w:p>
            <w:r>
              <w:rPr>
                <w:b w:val="0"/>
                <w:i w:val="0"/>
                <w:sz w:val="18"/>
              </w:rPr>
              <w:t>tõendatud vastavus standardile ISO/IEC 27001:2022 või samaväärsele (punkt 6.4)</w:t>
            </w:r>
          </w:p>
        </w:tc>
      </w:tr>
      <w:tr>
        <w:tc>
          <w:tcPr>
            <w:tcW w:type="dxa" w:w="3324"/>
          </w:tcPr>
          <w:p>
            <w:r>
              <w:rPr>
                <w:b/>
                <w:i w:val="0"/>
                <w:color w:val="2F3F9E"/>
                <w:sz w:val="18"/>
              </w:rPr>
              <w:t>Tõendusvahendid</w:t>
            </w:r>
          </w:p>
        </w:tc>
        <w:tc>
          <w:tcPr>
            <w:tcW w:type="dxa" w:w="3324"/>
          </w:tcPr>
          <w:p>
            <w:r>
              <w:rPr>
                <w:b w:val="0"/>
                <w:i w:val="0"/>
                <w:color w:val="646B82"/>
                <w:sz w:val="17"/>
              </w:rPr>
              <w:t>katseprotokollid, sertifitseerimine ja muud tõendusvahendid (artikkel 44)</w:t>
            </w:r>
          </w:p>
        </w:tc>
        <w:tc>
          <w:tcPr>
            <w:tcW w:type="dxa" w:w="3324"/>
          </w:tcPr>
          <w:p>
            <w:r>
              <w:rPr>
                <w:b w:val="0"/>
                <w:i w:val="0"/>
                <w:sz w:val="18"/>
              </w:rPr>
              <w:t>vastavustabel pakkumuse kohustusliku lisana: iga punkti kohta T, S või E koos tõenditega (API dokumentatsiooni aadress, testligipääs)</w:t>
            </w:r>
          </w:p>
        </w:tc>
      </w:tr>
      <w:tr>
        <w:tc>
          <w:tcPr>
            <w:tcW w:type="dxa" w:w="3324"/>
          </w:tcPr>
          <w:p>
            <w:r>
              <w:rPr>
                <w:b/>
                <w:i w:val="0"/>
                <w:color w:val="2F3F9E"/>
                <w:sz w:val="18"/>
              </w:rPr>
              <w:t>Lepingu projekt</w:t>
            </w:r>
          </w:p>
        </w:tc>
        <w:tc>
          <w:tcPr>
            <w:tcW w:type="dxa" w:w="3324"/>
          </w:tcPr>
          <w:p>
            <w:r>
              <w:rPr>
                <w:b w:val="0"/>
                <w:i w:val="0"/>
                <w:color w:val="646B82"/>
                <w:sz w:val="17"/>
              </w:rPr>
              <w:t>lepingu täitmise tingimused (artikkel 70)</w:t>
            </w:r>
          </w:p>
        </w:tc>
        <w:tc>
          <w:tcPr>
            <w:tcW w:type="dxa" w:w="3324"/>
          </w:tcPr>
          <w:p>
            <w:r>
              <w:rPr>
                <w:b w:val="0"/>
                <w:i w:val="0"/>
                <w:sz w:val="18"/>
              </w:rPr>
              <w:t>Lepingu lõppemise klausel, Õigused andmetele, Oma andmete tasuta kättesaadavus, API stabiilsus ja versioonihaldus; täidetud vastavustabel lisana</w:t>
            </w:r>
          </w:p>
        </w:tc>
      </w:tr>
      <w:tr>
        <w:tc>
          <w:tcPr>
            <w:tcW w:type="dxa" w:w="3324"/>
          </w:tcPr>
          <w:p>
            <w:r>
              <w:rPr>
                <w:b/>
                <w:i w:val="0"/>
                <w:color w:val="2F3F9E"/>
                <w:sz w:val="18"/>
              </w:rPr>
              <w:t>Vastuvõtuakt</w:t>
            </w:r>
          </w:p>
        </w:tc>
        <w:tc>
          <w:tcPr>
            <w:tcW w:type="dxa" w:w="3324"/>
          </w:tcPr>
          <w:p>
            <w:r>
              <w:rPr>
                <w:b w:val="0"/>
                <w:i w:val="0"/>
                <w:color w:val="646B82"/>
                <w:sz w:val="17"/>
              </w:rPr>
              <w:t>lepingu täitmise tingimused (artikkel 70)</w:t>
            </w:r>
          </w:p>
        </w:tc>
        <w:tc>
          <w:tcPr>
            <w:tcW w:type="dxa" w:w="3324"/>
          </w:tcPr>
          <w:p>
            <w:r>
              <w:rPr>
                <w:b w:val="0"/>
                <w:i w:val="0"/>
                <w:sz w:val="18"/>
              </w:rPr>
              <w:t>vastavustabeli veerg „Kontrollitud” testimisprotokollina</w:t>
            </w:r>
          </w:p>
        </w:tc>
      </w:tr>
    </w:tbl>
    <w:p>
      <w:pPr>
        <w:spacing w:before="200" w:after="80"/>
      </w:pPr>
      <w:r>
        <w:rPr>
          <w:b/>
          <w:i w:val="0"/>
          <w:color w:val="2F3F9E"/>
          <w:sz w:val="22"/>
        </w:rPr>
        <w:t>Tehnilise kirjelduse näidissõnastus</w:t>
      </w:r>
    </w:p>
    <w:p>
      <w:pPr>
        <w:spacing w:before="40" w:after="60"/>
      </w:pPr>
      <w:r>
        <w:rPr>
          <w:b/>
          <w:i w:val="0"/>
          <w:sz w:val="19"/>
        </w:rPr>
        <w:t>4.3 Koostalitlusvõime ja juurdepääs andmetele</w:t>
      </w:r>
    </w:p>
    <w:p>
      <w:pPr>
        <w:spacing w:before="40" w:after="60"/>
      </w:pPr>
      <w:r>
        <w:rPr>
          <w:b w:val="0"/>
          <w:i w:val="0"/>
          <w:sz w:val="19"/>
        </w:rPr>
        <w:t>4.3.1 Kõik andmed, mida süsteem kogub või toodab, on standardse veebi-API kaudu kättesaadavad vähemalt ühes masinloetavas vormingus (nt JSON, CSV). (MIMs Plus 9.0, MIM0 R1.1, R1.2)</w:t>
      </w:r>
    </w:p>
    <w:p>
      <w:pPr>
        <w:spacing w:before="40" w:after="60"/>
      </w:pPr>
      <w:r>
        <w:rPr>
          <w:b w:val="0"/>
          <w:i w:val="0"/>
          <w:sz w:val="19"/>
        </w:rPr>
        <w:t>4.3.2 API on ametlikult kirjeldatud avatud masinloetavas dokumendis (näiteks OpenAPI), mis on avaldatud püsival aadressil. (MIM0 R1.3)</w:t>
      </w:r>
    </w:p>
    <w:p>
      <w:pPr>
        <w:spacing w:before="40" w:after="60"/>
      </w:pPr>
      <w:r>
        <w:rPr>
          <w:b w:val="0"/>
          <w:i w:val="0"/>
          <w:sz w:val="19"/>
        </w:rPr>
        <w:t>4.3.3 API võimaldab andmete filtreerimist mõõtmise aja ja koha järgi. (MIM0 R2.1, R2.2)</w:t>
      </w:r>
    </w:p>
    <w:p>
      <w:pPr>
        <w:spacing w:before="40" w:after="60"/>
      </w:pPr>
      <w:r>
        <w:rPr>
          <w:b w:val="0"/>
          <w:i w:val="0"/>
          <w:sz w:val="19"/>
        </w:rPr>
        <w:t>… 4.3.4 kuni 4.3.21: muud märgitud punktid …</w:t>
      </w:r>
    </w:p>
    <w:p>
      <w:pPr>
        <w:spacing w:before="40" w:after="60"/>
      </w:pPr>
      <w:r>
        <w:rPr>
          <w:b w:val="0"/>
          <w:i w:val="0"/>
          <w:sz w:val="19"/>
        </w:rPr>
        <w:t>4.3.22 Iga viide standardile või tehnilisele kirjeldusele lubab samaväärset lahendust; pakkuja tõendab samaväärsust.</w:t>
      </w:r>
    </w:p>
    <w:p>
      <w:pPr>
        <w:spacing w:before="40" w:after="60"/>
      </w:pPr>
      <w:r>
        <w:rPr>
          <w:b w:val="0"/>
          <w:i w:val="0"/>
          <w:sz w:val="19"/>
        </w:rPr>
        <w:t>4.3.23 Pakkuja täidab vastavustabeli (hankedokumentide lisa) ja esitab tõendid iga nõutud punkti kohta. Pakkumuste hindamise ajal demonstreerib pakkuja punkte 4.3.1 kuni 4.3.21 (näiteks reaalajas API-päringuga); pakkumus, mis ei vasta nõutud punktile, ei vasta hankelepingu eseme nõuetele. Hankija kontrollib punkte uuesti vastuvõtmisel; nõuete mittetäitmine sel ajal on alus vastuvõtmisest keeldumiseks.</w:t>
      </w:r>
    </w:p>
    <w:p>
      <w:pPr>
        <w:spacing w:before="120" w:after="80"/>
      </w:pPr>
      <w:r>
        <w:rPr>
          <w:b w:val="0"/>
          <w:i/>
          <w:color w:val="646B82"/>
          <w:sz w:val="18"/>
        </w:rPr>
        <w:t>Punkt 4.3.3 näitab, et punkti võib ostu vajadustele vastavalt täpsustada: sensorite puhul on mõistlik nõuda filtreerimist mõõtmise aja ja koha järgi.</w:t>
      </w:r>
    </w:p>
    <w:p>
      <w:pPr>
        <w:spacing w:before="160" w:after="80"/>
      </w:pPr>
      <w:r>
        <w:rPr>
          <w:b/>
          <w:i w:val="0"/>
          <w:color w:val="2F3F9E"/>
          <w:sz w:val="22"/>
        </w:rPr>
        <w:t>Täidetud vastavustabel (väljavõte)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Nõue (lühidalt)</w:t>
            </w:r>
          </w:p>
        </w:tc>
        <w:tc>
          <w:tcPr>
            <w:tcW w:type="dxa" w:w="1994"/>
            <w:shd w:val="clear" w:fill="EEF0FB"/>
          </w:tcPr>
          <w:p>
            <w:r>
              <w:rPr>
                <w:b/>
                <w:i w:val="0"/>
                <w:color w:val="2F3F9E"/>
                <w:sz w:val="17"/>
              </w:rPr>
              <w:t>T / S / E</w:t>
            </w:r>
          </w:p>
        </w:tc>
        <w:tc>
          <w:tcPr>
            <w:tcW w:type="dxa" w:w="1994"/>
            <w:shd w:val="clear" w:fill="EEF0FB"/>
          </w:tcPr>
          <w:p>
            <w:r>
              <w:rPr>
                <w:b/>
                <w:i w:val="0"/>
                <w:color w:val="2F3F9E"/>
                <w:sz w:val="17"/>
              </w:rPr>
              <w:t>Tõendid: kuidas ja kus</w:t>
            </w:r>
          </w:p>
        </w:tc>
        <w:tc>
          <w:tcPr>
            <w:tcW w:type="dxa" w:w="1994"/>
            <w:shd w:val="clear" w:fill="EEF0FB"/>
          </w:tcPr>
          <w:p>
            <w:r>
              <w:rPr>
                <w:b/>
                <w:i w:val="0"/>
                <w:color w:val="2F3F9E"/>
                <w:sz w:val="17"/>
              </w:rPr>
              <w:t>Kontrollitud</w:t>
            </w:r>
          </w:p>
        </w:tc>
      </w:tr>
      <w:tr>
        <w:tc>
          <w:tcPr>
            <w:tcW w:type="dxa" w:w="1994"/>
          </w:tcPr>
          <w:p>
            <w:r>
              <w:rPr>
                <w:b w:val="0"/>
                <w:i w:val="0"/>
                <w:sz w:val="17"/>
              </w:rPr>
              <w:t>0.1</w:t>
            </w:r>
          </w:p>
        </w:tc>
        <w:tc>
          <w:tcPr>
            <w:tcW w:type="dxa" w:w="1994"/>
          </w:tcPr>
          <w:p>
            <w:r>
              <w:rPr>
                <w:b w:val="0"/>
                <w:i w:val="0"/>
                <w:sz w:val="17"/>
              </w:rPr>
              <w:t>Masinloetavad andmed standardse veebi-API kaudu</w:t>
            </w:r>
          </w:p>
        </w:tc>
        <w:tc>
          <w:tcPr>
            <w:tcW w:type="dxa" w:w="1994"/>
          </w:tcPr>
          <w:p>
            <w:r>
              <w:rPr>
                <w:b w:val="0"/>
                <w:i w:val="0"/>
                <w:sz w:val="17"/>
              </w:rPr>
              <w:t>T</w:t>
            </w:r>
          </w:p>
        </w:tc>
        <w:tc>
          <w:tcPr>
            <w:tcW w:type="dxa" w:w="1994"/>
          </w:tcPr>
          <w:p>
            <w:r>
              <w:rPr>
                <w:b w:val="0"/>
                <w:i w:val="0"/>
                <w:sz w:val="17"/>
              </w:rPr>
              <w:t>REST API tagastab JSON-i ja CSV; dokumentatsioon pakkumuses toodud aadressil, lk 12; testligipääs lisas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Muudatuste tellimine vajaduse korral</w:t>
            </w:r>
          </w:p>
        </w:tc>
        <w:tc>
          <w:tcPr>
            <w:tcW w:type="dxa" w:w="1994"/>
          </w:tcPr>
          <w:p>
            <w:r>
              <w:rPr>
                <w:b w:val="0"/>
                <w:i w:val="0"/>
                <w:sz w:val="17"/>
              </w:rPr>
              <w:t>E</w:t>
            </w:r>
          </w:p>
        </w:tc>
        <w:tc>
          <w:tcPr>
            <w:tcW w:type="dxa" w:w="1994"/>
          </w:tcPr>
          <w:p>
            <w:r>
              <w:rPr>
                <w:b w:val="0"/>
                <w:i w:val="0"/>
                <w:sz w:val="17"/>
              </w:rPr>
              <w:t>pole veel toetatud; kavandatud järgmises versioonis</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Avatud geovormingud</w:t>
            </w:r>
          </w:p>
        </w:tc>
        <w:tc>
          <w:tcPr>
            <w:tcW w:type="dxa" w:w="1994"/>
          </w:tcPr>
          <w:p>
            <w:r>
              <w:rPr>
                <w:b w:val="0"/>
                <w:i w:val="0"/>
                <w:sz w:val="17"/>
              </w:rPr>
              <w:t>S</w:t>
            </w:r>
          </w:p>
        </w:tc>
        <w:tc>
          <w:tcPr>
            <w:tcW w:type="dxa" w:w="1994"/>
          </w:tcPr>
          <w:p>
            <w:r>
              <w:rPr>
                <w:b w:val="0"/>
                <w:i w:val="0"/>
                <w:sz w:val="17"/>
              </w:rPr>
              <w:t>pakub GeoJSON-i asemel OGC avatud standardit GeoPackage; samaväärsust selgitatud pakkumuses, lk 15</w:t>
            </w:r>
          </w:p>
        </w:tc>
        <w:tc>
          <w:tcPr>
            <w:tcW w:type="dxa" w:w="1994"/>
          </w:tcPr>
          <w:p>
            <w:r>
              <w:rPr>
                <w:b w:val="0"/>
                <w:i w:val="0"/>
                <w:sz w:val="17"/>
              </w:rPr>
              <w:t>✓</w:t>
            </w:r>
          </w:p>
        </w:tc>
      </w:tr>
    </w:tbl>
    <w:p>
      <w:pPr>
        <w:spacing w:before="80" w:after="80"/>
      </w:pPr>
      <w:r>
        <w:rPr>
          <w:b w:val="0"/>
          <w:i/>
          <w:color w:val="646B82"/>
          <w:sz w:val="18"/>
        </w:rPr>
        <w:t>Tulevikufunktsionaalsuse lubadus loetakse väärtuseks E: komisjon kontrollib ainult seda, mida pakkuja suudab näidata. Nõutud punkti puhul tähendab E, et pakkumus ei vasta hankelepingu eseme nõuetele.</w:t>
      </w:r>
    </w:p>
    <w:p>
      <w:pPr>
        <w:spacing w:before="40" w:after="80"/>
      </w:pPr>
      <w:r>
        <w:rPr>
          <w:b w:val="0"/>
          <w:i/>
          <w:color w:val="646B82"/>
          <w:sz w:val="18"/>
        </w:rPr>
        <w:t>Kohandage sõnastust siseriikliku õigusega ja laske see hanke eest vastutaval isikul üle vaadata.</w:t>
      </w:r>
    </w:p>
    <w:p>
      <w:r>
        <w:br w:type="page"/>
      </w:r>
    </w:p>
    <w:p>
      <w:pPr>
        <w:spacing w:before="120" w:after="160"/>
      </w:pPr>
      <w:r>
        <w:rPr>
          <w:b/>
          <w:i w:val="0"/>
          <w:color w:val="2F3F9E"/>
          <w:sz w:val="36"/>
        </w:rPr>
        <w:t>Vastavustabel</w:t>
      </w:r>
    </w:p>
    <w:p>
      <w:pPr>
        <w:spacing w:before="40" w:after="80"/>
      </w:pPr>
      <w:r>
        <w:rPr>
          <w:b w:val="0"/>
          <w:i w:val="0"/>
          <w:sz w:val="19"/>
        </w:rPr>
        <w:t>Üks rida iga punkti kohta. Hankija märgib ära hankelepingus nõutavad punktid ja lisab tabeli riigihanke alusdokumentidele pakkumuse kohustusliku lisana. Iga nõutud punkti kohta märgib pakkuja T (täidab), S (täidab samaväärsega) või E (ei täida), lühidalt kuidas ja kus asuvad tõendid: dokumentatsiooni aadress, testjuurdepääs, pakkumuse lehekülg. Pelgast kinnitusest ilma tõendita ei piisa. Hindamiskomisjon kontrollib iga punkti pakkumuste hindamisel ja uuesti üleandmisel (✓ kinnitatud, ✗ kinnitamata, — kontrollimata).</w:t>
      </w:r>
    </w:p>
    <w:p>
      <w:pPr>
        <w:spacing w:before="40" w:after="160"/>
      </w:pPr>
      <w:r>
        <w:rPr>
          <w:b w:val="0"/>
          <w:i w:val="0"/>
          <w:sz w:val="19"/>
        </w:rPr>
        <w:t>Täidetud tabel on pakkumuse osa ja saab lepingu lisaks. See tõendab hankelepingu esemele esitatud nõuete täitmist (vastab või ei vasta); see ei ole pakkumuste hindamiskriteerium. Nõuetele vastavuse hindamiseks punktidega sätestage see eelnevalt hankedokumentides avaldatud hindamiskriteeriumide hulgas (direktiiv 2014/24/EL, artikkel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Nõue (lühidalt)</w:t>
            </w:r>
          </w:p>
        </w:tc>
        <w:tc>
          <w:tcPr>
            <w:tcW w:type="dxa" w:w="1701"/>
            <w:shd w:val="clear" w:fill="EEF0FB"/>
          </w:tcPr>
          <w:p>
            <w:r>
              <w:rPr>
                <w:b/>
                <w:i w:val="0"/>
                <w:color w:val="2F3F9E"/>
                <w:sz w:val="17"/>
              </w:rPr>
              <w:t>Spets. viide</w:t>
            </w:r>
          </w:p>
        </w:tc>
        <w:tc>
          <w:tcPr>
            <w:tcW w:type="dxa" w:w="1077"/>
            <w:shd w:val="clear" w:fill="EEF0FB"/>
          </w:tcPr>
          <w:p>
            <w:r>
              <w:rPr>
                <w:b/>
                <w:i w:val="0"/>
                <w:color w:val="2F3F9E"/>
                <w:sz w:val="17"/>
              </w:rPr>
              <w:t>Nõutav?</w:t>
            </w:r>
          </w:p>
          <w:p>
            <w:r>
              <w:rPr>
                <w:b w:val="0"/>
                <w:i/>
                <w:color w:val="646B82"/>
                <w:sz w:val="15"/>
              </w:rPr>
              <w:t>hankija</w:t>
            </w:r>
          </w:p>
        </w:tc>
        <w:tc>
          <w:tcPr>
            <w:tcW w:type="dxa" w:w="794"/>
            <w:shd w:val="clear" w:fill="EEF0FB"/>
          </w:tcPr>
          <w:p>
            <w:r>
              <w:rPr>
                <w:b/>
                <w:i w:val="0"/>
                <w:color w:val="2F3F9E"/>
                <w:sz w:val="17"/>
              </w:rPr>
              <w:t>T / S / E</w:t>
            </w:r>
          </w:p>
          <w:p>
            <w:r>
              <w:rPr>
                <w:b w:val="0"/>
                <w:i/>
                <w:color w:val="646B82"/>
                <w:sz w:val="15"/>
              </w:rPr>
              <w:t>pakkuja</w:t>
            </w:r>
          </w:p>
        </w:tc>
        <w:tc>
          <w:tcPr>
            <w:tcW w:type="dxa" w:w="2154"/>
            <w:shd w:val="clear" w:fill="EEF0FB"/>
          </w:tcPr>
          <w:p>
            <w:r>
              <w:rPr>
                <w:b/>
                <w:i w:val="0"/>
                <w:color w:val="2F3F9E"/>
                <w:sz w:val="17"/>
              </w:rPr>
              <w:t>Tõendid: kuidas ja kus</w:t>
            </w:r>
          </w:p>
          <w:p>
            <w:r>
              <w:rPr>
                <w:b w:val="0"/>
                <w:i/>
                <w:color w:val="646B82"/>
                <w:sz w:val="15"/>
              </w:rPr>
              <w:t>pakkuja</w:t>
            </w:r>
          </w:p>
        </w:tc>
        <w:tc>
          <w:tcPr>
            <w:tcW w:type="dxa" w:w="794"/>
            <w:shd w:val="clear" w:fill="EEF0FB"/>
          </w:tcPr>
          <w:p>
            <w:r>
              <w:rPr>
                <w:b/>
                <w:i w:val="0"/>
                <w:color w:val="2F3F9E"/>
                <w:sz w:val="17"/>
              </w:rPr>
              <w:t>Kontrollitud</w:t>
            </w:r>
          </w:p>
          <w:p>
            <w:r>
              <w:rPr>
                <w:b w:val="0"/>
                <w:i/>
                <w:color w:val="646B82"/>
                <w:sz w:val="15"/>
              </w:rPr>
              <w:t>komisjon</w:t>
            </w:r>
          </w:p>
        </w:tc>
      </w:tr>
      <w:tr>
        <w:tc>
          <w:tcPr>
            <w:tcW w:type="dxa" w:w="9975"/>
            <w:gridSpan w:val="7"/>
            <w:shd w:val="clear" w:fill="2F3F9E"/>
          </w:tcPr>
          <w:p>
            <w:r>
              <w:rPr>
                <w:b/>
                <w:i w:val="0"/>
                <w:color w:val="FFFFFF"/>
                <w:sz w:val="17"/>
              </w:rPr>
              <w:t>MIM0 · Kas saame oma andmed kätte?</w:t>
            </w:r>
          </w:p>
        </w:tc>
      </w:tr>
      <w:tr>
        <w:tc>
          <w:tcPr>
            <w:tcW w:type="dxa" w:w="567"/>
          </w:tcPr>
          <w:p>
            <w:r>
              <w:rPr>
                <w:b w:val="0"/>
                <w:i w:val="0"/>
                <w:sz w:val="17"/>
              </w:rPr>
              <w:t>0.1</w:t>
            </w:r>
          </w:p>
        </w:tc>
        <w:tc>
          <w:tcPr>
            <w:tcW w:type="dxa" w:w="2608"/>
          </w:tcPr>
          <w:p>
            <w:r>
              <w:rPr>
                <w:b w:val="0"/>
                <w:i w:val="0"/>
                <w:sz w:val="17"/>
              </w:rPr>
              <w:t>Masinloetavad andmed standardse veebi-API kaudu</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Avatud API kirjeldus (OpenAPI) püsival aadressil</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Filtreerimine aja, koha ja atribuutide järgi</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Muudatuste tellimine vajaduse korral</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Standardsed HTTP vead, vahemälu ja limiidid</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Kas igal asjal on püsiv nimi?</w:t>
            </w:r>
          </w:p>
        </w:tc>
      </w:tr>
      <w:tr>
        <w:tc>
          <w:tcPr>
            <w:tcW w:type="dxa" w:w="567"/>
          </w:tcPr>
          <w:p>
            <w:r>
              <w:rPr>
                <w:b w:val="0"/>
                <w:i w:val="0"/>
                <w:sz w:val="17"/>
              </w:rPr>
              <w:t>1.1</w:t>
            </w:r>
          </w:p>
        </w:tc>
        <w:tc>
          <w:tcPr>
            <w:tcW w:type="dxa" w:w="2608"/>
          </w:tcPr>
          <w:p>
            <w:r>
              <w:rPr>
                <w:b w:val="0"/>
                <w:i w:val="0"/>
                <w:sz w:val="17"/>
              </w:rPr>
              <w:t>Kordumatu püsiv identifikaator igal olemil</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Identifikaatori päring tagastab andmed + tüübi</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Süsteemidevaheline identifikaatorite sidumine</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Tarnija siseandmed identifikaatorites puuduvad</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Kas me räägime ühist keelt?</w:t>
            </w:r>
          </w:p>
        </w:tc>
      </w:tr>
      <w:tr>
        <w:tc>
          <w:tcPr>
            <w:tcW w:type="dxa" w:w="567"/>
          </w:tcPr>
          <w:p>
            <w:r>
              <w:rPr>
                <w:b w:val="0"/>
                <w:i w:val="0"/>
                <w:sz w:val="17"/>
              </w:rPr>
              <w:t>2.1</w:t>
            </w:r>
          </w:p>
        </w:tc>
        <w:tc>
          <w:tcPr>
            <w:tcW w:type="dxa" w:w="2608"/>
          </w:tcPr>
          <w:p>
            <w:r>
              <w:rPr>
                <w:b w:val="0"/>
                <w:i w:val="0"/>
                <w:sz w:val="17"/>
              </w:rPr>
              <w:t>Standardmudelid igal võimalusel</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Mudelid dokumenteeritud, ühikud selged</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Laiendused profiilidena, mitte harudena</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Avatud, skeemiga kontrollitav serialiseering</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Kas saame jagada selgetel tingimustel?</w:t>
            </w:r>
          </w:p>
        </w:tc>
      </w:tr>
      <w:tr>
        <w:tc>
          <w:tcPr>
            <w:tcW w:type="dxa" w:w="567"/>
          </w:tcPr>
          <w:p>
            <w:r>
              <w:rPr>
                <w:b w:val="0"/>
                <w:i w:val="0"/>
                <w:sz w:val="17"/>
              </w:rPr>
              <w:t>3.1</w:t>
            </w:r>
          </w:p>
        </w:tc>
        <w:tc>
          <w:tcPr>
            <w:tcW w:type="dxa" w:w="2608"/>
          </w:tcPr>
          <w:p>
            <w:r>
              <w:rPr>
                <w:b w:val="0"/>
                <w:i w:val="0"/>
                <w:sz w:val="17"/>
              </w:rPr>
              <w:t>Andmestikud kataloogitud standardsete metaandmetega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Malli alusel litsentsid ja lepingud</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Linn kontrollib juurdepääsutingimusi ise</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Kas meie andmed on kaitstud?</w:t>
            </w:r>
          </w:p>
        </w:tc>
      </w:tr>
      <w:tr>
        <w:tc>
          <w:tcPr>
            <w:tcW w:type="dxa" w:w="567"/>
          </w:tcPr>
          <w:p>
            <w:r>
              <w:rPr>
                <w:b w:val="0"/>
                <w:i w:val="0"/>
                <w:sz w:val="17"/>
              </w:rPr>
              <w:t>6.1</w:t>
            </w:r>
          </w:p>
        </w:tc>
        <w:tc>
          <w:tcPr>
            <w:tcW w:type="dxa" w:w="2608"/>
          </w:tcPr>
          <w:p>
            <w:r>
              <w:rPr>
                <w:b w:val="0"/>
                <w:i w:val="0"/>
                <w:sz w:val="17"/>
              </w:rPr>
              <w:t>Krüpteeritud andmeedastus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Standardne sisselogimine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Rollipõhine ligipääs ja auditi logid</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Tõendatud ISO/IEC 27001:2022 järgimine</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Kas see töötab kaardil?</w:t>
            </w:r>
          </w:p>
        </w:tc>
      </w:tr>
      <w:tr>
        <w:tc>
          <w:tcPr>
            <w:tcW w:type="dxa" w:w="567"/>
          </w:tcPr>
          <w:p>
            <w:r>
              <w:rPr>
                <w:b w:val="0"/>
                <w:i w:val="0"/>
                <w:sz w:val="17"/>
              </w:rPr>
              <w:t>7.1</w:t>
            </w:r>
          </w:p>
        </w:tc>
        <w:tc>
          <w:tcPr>
            <w:tcW w:type="dxa" w:w="2608"/>
          </w:tcPr>
          <w:p>
            <w:r>
              <w:rPr>
                <w:b w:val="0"/>
                <w:i w:val="0"/>
                <w:sz w:val="17"/>
              </w:rPr>
              <w:t>OGC standardliidesed</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Avatud geovormingud</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CRS deklareeritud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Püsivad ID-d ruumiobjektidel (vt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Kas meie digitaalne kaksik saab areneda?</w:t>
            </w:r>
          </w:p>
        </w:tc>
      </w:tr>
      <w:tr>
        <w:tc>
          <w:tcPr>
            <w:tcW w:type="dxa" w:w="567"/>
          </w:tcPr>
          <w:p>
            <w:r>
              <w:rPr>
                <w:b w:val="0"/>
                <w:i w:val="0"/>
                <w:sz w:val="17"/>
              </w:rPr>
              <w:t>8.1</w:t>
            </w:r>
          </w:p>
        </w:tc>
        <w:tc>
          <w:tcPr>
            <w:tcW w:type="dxa" w:w="2608"/>
          </w:tcPr>
          <w:p>
            <w:r>
              <w:rPr>
                <w:b w:val="0"/>
                <w:i w:val="0"/>
                <w:sz w:val="17"/>
              </w:rPr>
              <w:t>Kaksiku andmed ja väljundid API kaudu</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Mudelid dokumenteeritud ja väljakutsutavad</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Väljundite standardvormingud</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Töövoo päritolu salvestatud</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Läbivad hanketingimused   Pakkuja kinnitab lepingutingimuse aktsepteerimist (T / E).</w:t>
            </w:r>
          </w:p>
        </w:tc>
      </w:tr>
      <w:tr>
        <w:tc>
          <w:tcPr>
            <w:tcW w:type="dxa" w:w="567"/>
          </w:tcPr>
          <w:p>
            <w:r>
              <w:rPr>
                <w:b w:val="0"/>
                <w:i w:val="0"/>
                <w:sz w:val="17"/>
              </w:rPr>
              <w:t>X.1</w:t>
            </w:r>
          </w:p>
        </w:tc>
        <w:tc>
          <w:tcPr>
            <w:tcW w:type="dxa" w:w="2608"/>
          </w:tcPr>
          <w:p>
            <w:r>
              <w:rPr>
                <w:b w:val="0"/>
                <w:i w:val="0"/>
                <w:sz w:val="17"/>
              </w:rPr>
              <w:t>Lepingu lõppemine: tasuta üleandmine avatud kujul</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Õigused andmetele kuuluvad hankijale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Oma andmete tasuta kättesaadavus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 stabiilsus: versioonitud, ühildumatutest muudatustest etteteade 6 kuud</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Allolevad lühinimed asendavad MIM-lehtedel olevaid täielikke punkte — kahtluse korral kehtib punkti täistekst.</w:t>
      </w:r>
    </w:p>
    <w:p>
      <w:pPr>
        <w:spacing w:before="40" w:after="80"/>
      </w:pPr>
      <w:r>
        <w:rPr>
          <w:b w:val="0"/>
          <w:i w:val="0"/>
          <w:color w:val="646B82"/>
          <w:sz w:val="17"/>
        </w:rPr>
        <w:t>Tabeli muudetav versioon asub aadressil: https://www.joinedcontext.com/mims/</w:t>
      </w:r>
    </w:p>
    <w:p>
      <w:r>
        <w:br w:type="page"/>
      </w:r>
    </w:p>
    <w:p>
      <w:pPr>
        <w:spacing w:before="120" w:after="160"/>
      </w:pPr>
      <w:r>
        <w:rPr>
          <w:b/>
          <w:i w:val="0"/>
          <w:color w:val="2F3F9E"/>
          <w:sz w:val="36"/>
        </w:rPr>
        <w:t>Väike sõnastik</w:t>
      </w:r>
    </w:p>
    <w:p>
      <w:pPr>
        <w:spacing w:before="40" w:after="120"/>
      </w:pPr>
      <w:r>
        <w:rPr>
          <w:b/>
          <w:i w:val="0"/>
          <w:color w:val="2F3F9E"/>
          <w:sz w:val="20"/>
        </w:rPr>
        <w:t xml:space="preserve">API  —  </w:t>
      </w:r>
      <w:r>
        <w:rPr>
          <w:b w:val="0"/>
          <w:i w:val="0"/>
          <w:sz w:val="20"/>
        </w:rPr>
        <w:t>Liides, mille kaudu üks programm küsib teiselt andmeid veebi kaudu ilma inimese sekkumiseta.</w:t>
      </w:r>
    </w:p>
    <w:p>
      <w:pPr>
        <w:spacing w:before="40" w:after="120"/>
      </w:pPr>
      <w:r>
        <w:rPr>
          <w:b/>
          <w:i w:val="0"/>
          <w:color w:val="2F3F9E"/>
          <w:sz w:val="20"/>
        </w:rPr>
        <w:t xml:space="preserve">Andmemudel  —  </w:t>
      </w:r>
      <w:r>
        <w:rPr>
          <w:b w:val="0"/>
          <w:i w:val="0"/>
          <w:sz w:val="20"/>
        </w:rPr>
        <w:t>Andmete kokkulepitud struktuur: millised väljad eksisteerivad, mida need tähendavad ja mis ühikuid kasutatakse.</w:t>
      </w:r>
    </w:p>
    <w:p>
      <w:pPr>
        <w:spacing w:before="40" w:after="120"/>
      </w:pPr>
      <w:r>
        <w:rPr>
          <w:b/>
          <w:i w:val="0"/>
          <w:color w:val="2F3F9E"/>
          <w:sz w:val="20"/>
        </w:rPr>
        <w:t xml:space="preserve">DCAT-AP  —  </w:t>
      </w:r>
      <w:r>
        <w:rPr>
          <w:b w:val="0"/>
          <w:i w:val="0"/>
          <w:sz w:val="20"/>
        </w:rPr>
        <w:t>Andmekataloogide Euroopa metaandmete profiil; võimaldab leida andmestikke ka riiklikest ja Euroopa portaalidest.</w:t>
      </w:r>
    </w:p>
    <w:p>
      <w:pPr>
        <w:spacing w:before="40" w:after="120"/>
      </w:pPr>
      <w:r>
        <w:rPr>
          <w:b/>
          <w:i w:val="0"/>
          <w:color w:val="2F3F9E"/>
          <w:sz w:val="20"/>
        </w:rPr>
        <w:t xml:space="preserve">EPSG  —  </w:t>
      </w:r>
      <w:r>
        <w:rPr>
          <w:b w:val="0"/>
          <w:i w:val="0"/>
          <w:sz w:val="20"/>
        </w:rPr>
        <w:t>Koordinaatsüsteemide numbrikoodide register (nt EPSG:4326 tähistab süsteemi WGS 84).</w:t>
      </w:r>
    </w:p>
    <w:p>
      <w:pPr>
        <w:spacing w:before="40" w:after="120"/>
      </w:pPr>
      <w:r>
        <w:rPr>
          <w:b/>
          <w:i w:val="0"/>
          <w:color w:val="2F3F9E"/>
          <w:sz w:val="20"/>
        </w:rPr>
        <w:t xml:space="preserve">Identifikaator  —  </w:t>
      </w:r>
      <w:r>
        <w:rPr>
          <w:b w:val="0"/>
          <w:i w:val="0"/>
          <w:sz w:val="20"/>
        </w:rPr>
        <w:t>Ühe kindla objekti (üks valgusti, üks hoone) püsiv nimi, mida kõik süsteemid selle tähistamiseks kasutavad.</w:t>
      </w:r>
    </w:p>
    <w:p>
      <w:pPr>
        <w:spacing w:before="40" w:after="120"/>
      </w:pPr>
      <w:r>
        <w:rPr>
          <w:b/>
          <w:i w:val="0"/>
          <w:color w:val="2F3F9E"/>
          <w:sz w:val="20"/>
        </w:rPr>
        <w:t xml:space="preserve">Koostalitlusvõime  —  </w:t>
      </w:r>
      <w:r>
        <w:rPr>
          <w:b w:val="0"/>
          <w:i w:val="0"/>
          <w:sz w:val="20"/>
        </w:rPr>
        <w:t>Erinevate tarnijate süsteemide võime andmeid vahetada ja neist ühtemoodi aru saada.</w:t>
      </w:r>
    </w:p>
    <w:p>
      <w:pPr>
        <w:spacing w:before="40" w:after="120"/>
      </w:pPr>
      <w:r>
        <w:rPr>
          <w:b/>
          <w:i w:val="0"/>
          <w:color w:val="2F3F9E"/>
          <w:sz w:val="20"/>
        </w:rPr>
        <w:t xml:space="preserve">IRI  —  </w:t>
      </w:r>
      <w:r>
        <w:rPr>
          <w:b w:val="0"/>
          <w:i w:val="0"/>
          <w:sz w:val="20"/>
        </w:rPr>
        <w:t>Veebiidentifikaatori rahvusvaheline kuju (nagu URL, kus on lubatud mitte-ASCII tähemärgid). MIM1 nimetab sellega olemeid.</w:t>
      </w:r>
    </w:p>
    <w:p>
      <w:pPr>
        <w:spacing w:before="40" w:after="120"/>
      </w:pPr>
      <w:r>
        <w:rPr>
          <w:b/>
          <w:i w:val="0"/>
          <w:color w:val="2F3F9E"/>
          <w:sz w:val="20"/>
        </w:rPr>
        <w:t xml:space="preserve">LDT  —  </w:t>
      </w:r>
      <w:r>
        <w:rPr>
          <w:b w:val="0"/>
          <w:i w:val="0"/>
          <w:sz w:val="20"/>
        </w:rPr>
        <w:t>Local Digital Twin: linna või selle osa digitaalne mudel, mis on ühendatud andmete ja simulatsioonidega.</w:t>
      </w:r>
    </w:p>
    <w:p>
      <w:pPr>
        <w:spacing w:before="40" w:after="120"/>
      </w:pPr>
      <w:r>
        <w:rPr>
          <w:b/>
          <w:i w:val="0"/>
          <w:color w:val="2F3F9E"/>
          <w:sz w:val="20"/>
        </w:rPr>
        <w:t xml:space="preserve">Masinloetav  —  </w:t>
      </w:r>
      <w:r>
        <w:rPr>
          <w:b w:val="0"/>
          <w:i w:val="0"/>
          <w:sz w:val="20"/>
        </w:rPr>
        <w:t>Struktureeritud nii, et tarkvara saab seda otse töödelda (JSON, CSV) — tabeli PDF seda ei ole.</w:t>
      </w:r>
    </w:p>
    <w:p>
      <w:pPr>
        <w:spacing w:before="40" w:after="120"/>
      </w:pPr>
      <w:r>
        <w:rPr>
          <w:b/>
          <w:i w:val="0"/>
          <w:color w:val="2F3F9E"/>
          <w:sz w:val="20"/>
        </w:rPr>
        <w:t xml:space="preserve">Metaandmed  —  </w:t>
      </w:r>
      <w:r>
        <w:rPr>
          <w:b w:val="0"/>
          <w:i w:val="0"/>
          <w:sz w:val="20"/>
        </w:rPr>
        <w:t>Andmed andmete kohta: mida andmestik sisaldab, kes seda pakub, kui värske see on ja millise litsentsiga.</w:t>
      </w:r>
    </w:p>
    <w:p>
      <w:pPr>
        <w:spacing w:before="40" w:after="120"/>
      </w:pPr>
      <w:r>
        <w:rPr>
          <w:b/>
          <w:i w:val="0"/>
          <w:color w:val="2F3F9E"/>
          <w:sz w:val="20"/>
        </w:rPr>
        <w:t xml:space="preserve">OAuth 2.0 / OIDC  —  </w:t>
      </w:r>
      <w:r>
        <w:rPr>
          <w:b w:val="0"/>
          <w:i w:val="0"/>
          <w:sz w:val="20"/>
        </w:rPr>
        <w:t>Avatud standardid sisselogimiseks ja juurdepääsu andmiseks. OpenID Connect (OIDC) lisab OAuth 2.0-le isikutuvastuse.</w:t>
      </w:r>
    </w:p>
    <w:p>
      <w:pPr>
        <w:spacing w:before="40" w:after="120"/>
      </w:pPr>
      <w:r>
        <w:rPr>
          <w:b/>
          <w:i w:val="0"/>
          <w:color w:val="2F3F9E"/>
          <w:sz w:val="20"/>
        </w:rPr>
        <w:t xml:space="preserve">OGC  —  </w:t>
      </w:r>
      <w:r>
        <w:rPr>
          <w:b w:val="0"/>
          <w:i w:val="0"/>
          <w:sz w:val="20"/>
        </w:rPr>
        <w:t>Open Geospatial Consortium: organisatsioon, mis avaldab ruumiandmete ja -teenuste standardeid (OGC API, WFS, SensorThings).</w:t>
      </w:r>
    </w:p>
    <w:p>
      <w:pPr>
        <w:spacing w:before="40" w:after="120"/>
      </w:pPr>
      <w:r>
        <w:rPr>
          <w:b/>
          <w:i w:val="0"/>
          <w:color w:val="2F3F9E"/>
          <w:sz w:val="20"/>
        </w:rPr>
        <w:t xml:space="preserve">Avatud standard  —  </w:t>
      </w:r>
      <w:r>
        <w:rPr>
          <w:b w:val="0"/>
          <w:i w:val="0"/>
          <w:sz w:val="20"/>
        </w:rPr>
        <w:t>Tehniline reegel, mida igaüks võib tasuta ja ilma eriloata lugeda ning rakendada.</w:t>
      </w:r>
    </w:p>
    <w:p>
      <w:pPr>
        <w:spacing w:before="40" w:after="120"/>
      </w:pPr>
      <w:r>
        <w:rPr>
          <w:b/>
          <w:i w:val="0"/>
          <w:color w:val="2F3F9E"/>
          <w:sz w:val="20"/>
        </w:rPr>
        <w:t xml:space="preserve">OpenAPI  —  </w:t>
      </w:r>
      <w:r>
        <w:rPr>
          <w:b w:val="0"/>
          <w:i w:val="0"/>
          <w:sz w:val="20"/>
        </w:rPr>
        <w:t>Avatud vorming veebi-API masinloetavaks kirjeldamiseks: aadressid, parameetrid, vastused.</w:t>
      </w:r>
    </w:p>
    <w:p>
      <w:pPr>
        <w:spacing w:before="40" w:after="120"/>
      </w:pPr>
      <w:r>
        <w:rPr>
          <w:b/>
          <w:i w:val="0"/>
          <w:color w:val="2F3F9E"/>
          <w:sz w:val="20"/>
        </w:rPr>
        <w:t xml:space="preserve">Serialiseering  —  </w:t>
      </w:r>
      <w:r>
        <w:rPr>
          <w:b w:val="0"/>
          <w:i w:val="0"/>
          <w:sz w:val="20"/>
        </w:rPr>
        <w:t>Andmete esitamine konkreetses vormingus (nt JSON, XML), et neid saaks salvestada või edastada.</w:t>
      </w:r>
    </w:p>
    <w:p>
      <w:pPr>
        <w:spacing w:before="40" w:after="120"/>
      </w:pPr>
      <w:r>
        <w:rPr>
          <w:b/>
          <w:i w:val="0"/>
          <w:color w:val="2F3F9E"/>
          <w:sz w:val="20"/>
        </w:rPr>
        <w:t xml:space="preserve">TLS  —  </w:t>
      </w:r>
      <w:r>
        <w:rPr>
          <w:b w:val="0"/>
          <w:i w:val="0"/>
          <w:sz w:val="20"/>
        </w:rPr>
        <w:t>Protokoll, mis krüpteerib võrgus liikuvaid andmeid (HTTPS-i alus).</w:t>
      </w:r>
    </w:p>
    <w:p>
      <w:pPr>
        <w:spacing w:before="40" w:after="120"/>
      </w:pPr>
      <w:r>
        <w:rPr>
          <w:b/>
          <w:i w:val="0"/>
          <w:color w:val="2F3F9E"/>
          <w:sz w:val="20"/>
        </w:rPr>
        <w:t xml:space="preserve">Tarnijalukustus  —  </w:t>
      </w:r>
      <w:r>
        <w:rPr>
          <w:b w:val="0"/>
          <w:i w:val="0"/>
          <w:sz w:val="20"/>
        </w:rPr>
        <w:t>Olukord, kus andmete, vormingute või tasude maksumus teeb tarnija vahetamise praktiliselt võimatuks.</w:t>
      </w:r>
    </w:p>
    <w:p>
      <w:pPr>
        <w:spacing w:before="40" w:after="120"/>
      </w:pPr>
      <w:r>
        <w:rPr>
          <w:b/>
          <w:i w:val="0"/>
          <w:color w:val="2F3F9E"/>
          <w:sz w:val="20"/>
        </w:rPr>
        <w:t xml:space="preserve">Veebihaak / MQTT  —  </w:t>
      </w:r>
      <w:r>
        <w:rPr>
          <w:b w:val="0"/>
          <w:i w:val="0"/>
          <w:sz w:val="20"/>
        </w:rPr>
        <w:t>Kaks viisi, kuidas süsteem annab muutusest ise teada: veebihaak pöördub teie aadressi poole, MQTT edastab sõnumeid tellijatele.</w:t>
      </w:r>
    </w:p>
    <w:p>
      <w:pPr>
        <w:spacing w:before="240" w:after="120"/>
      </w:pPr>
      <w:r>
        <w:rPr>
          <w:b/>
          <w:i w:val="0"/>
          <w:color w:val="0B7485"/>
          <w:sz w:val="24"/>
        </w:rPr>
        <w:t>Kust lisateavet leida</w:t>
      </w:r>
    </w:p>
    <w:p>
      <w:pPr>
        <w:spacing w:before="40" w:after="100"/>
      </w:pPr>
      <w:hyperlink r:id="rId20">
        <w:r>
          <w:rPr>
            <w:color w:val="2F3F9E"/>
            <w:u w:val="single"/>
            <w:sz w:val="20"/>
          </w:rPr>
          <w:t>mims.oascities.org</w:t>
        </w:r>
      </w:hyperlink>
      <w:r>
        <w:rPr>
          <w:b w:val="0"/>
          <w:i w:val="0"/>
          <w:sz w:val="20"/>
        </w:rPr>
        <w:t xml:space="preserve">  —  MIMs Plus täielik spetsifikatsioon, mida haldab OASC.</w:t>
      </w:r>
    </w:p>
    <w:p>
      <w:pPr>
        <w:spacing w:before="40" w:after="100"/>
      </w:pPr>
      <w:hyperlink r:id="rId21">
        <w:r>
          <w:rPr>
            <w:color w:val="2F3F9E"/>
            <w:u w:val="single"/>
            <w:sz w:val="20"/>
          </w:rPr>
          <w:t>living-in.eu</w:t>
        </w:r>
      </w:hyperlink>
      <w:r>
        <w:rPr>
          <w:b w:val="0"/>
          <w:i w:val="0"/>
          <w:sz w:val="20"/>
        </w:rPr>
        <w:t xml:space="preserve">  —  Euroopa linnade digipöörde liikumine — deklaratsioon ja MIMs Plus kontekst.</w:t>
      </w:r>
    </w:p>
    <w:p>
      <w:pPr>
        <w:spacing w:before="40" w:after="100"/>
      </w:pPr>
      <w:hyperlink r:id="rId22">
        <w:r>
          <w:rPr>
            <w:color w:val="2F3F9E"/>
            <w:u w:val="single"/>
            <w:sz w:val="20"/>
          </w:rPr>
          <w:t>smartdatamodels.org</w:t>
        </w:r>
      </w:hyperlink>
      <w:r>
        <w:rPr>
          <w:b w:val="0"/>
          <w:i w:val="0"/>
          <w:sz w:val="20"/>
        </w:rPr>
        <w:t xml:space="preserve">  —  Standardsete andmemudelite avatud teek (FIWARE, TM Forum, IUDX, OASC).</w:t>
      </w:r>
    </w:p>
    <w:p>
      <w:pPr>
        <w:spacing w:before="40" w:after="100"/>
      </w:pPr>
      <w:hyperlink r:id="rId23">
        <w:r>
          <w:rPr>
            <w:color w:val="2F3F9E"/>
            <w:u w:val="single"/>
            <w:sz w:val="20"/>
          </w:rPr>
          <w:t>oascities.org/academy</w:t>
        </w:r>
      </w:hyperlink>
      <w:r>
        <w:rPr>
          <w:b w:val="0"/>
          <w:i w:val="0"/>
          <w:sz w:val="20"/>
        </w:rPr>
        <w:t xml:space="preserve">  —  CITYxCITY Academy — kursused linnade töötajatele teistelt linnadelt.</w:t>
      </w:r>
    </w:p>
    <w:p>
      <w:r>
        <w:br w:type="page"/>
      </w:r>
    </w:p>
    <w:p>
      <w:pPr>
        <w:spacing w:before="480" w:after="80"/>
        <w:jc w:val="center"/>
      </w:pPr>
      <w:r>
        <w:rPr>
          <w:b w:val="0"/>
          <w:i w:val="0"/>
          <w:color w:val="646B82"/>
          <w:sz w:val="18"/>
        </w:rPr>
        <w:t>Koostatud organisatsiooni Open &amp; Agile Smart Cities väljaande MIMs Plus spetsifikatsioon 9.0 põhjal (mims.oascities.org). Spetsifikatsiooni sisu © OASC. See teatmik on sõltumatu selgekeelne abimaterjal kohalikele omavalitsustele riigihangete läbiviimiseks; kahtluse korral lähtutakse spetsifikatsioonist.</w:t>
      </w:r>
    </w:p>
    <w:p>
      <w:pPr>
        <w:spacing w:before="40" w:after="80"/>
        <w:jc w:val="center"/>
      </w:pPr>
      <w:r>
        <w:rPr>
          <w:b w:val="0"/>
          <w:i w:val="0"/>
          <w:color w:val="0B7485"/>
          <w:sz w:val="18"/>
        </w:rPr>
        <w:t>Loodud avatud tööriistadega. Taaskasutage ja kohandage vabalt oma linna vajadustele.</w:t>
      </w:r>
    </w:p>
    <w:p>
      <w:pPr>
        <w:spacing w:before="40" w:after="80"/>
        <w:jc w:val="center"/>
      </w:pPr>
      <w:r>
        <w:rPr>
          <w:b w:val="0"/>
          <w:i w:val="0"/>
          <w:color w:val="646B82"/>
          <w:sz w:val="17"/>
        </w:rPr>
        <w:t>Teatmiku autor: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Vähimad koostalitlusmehhanismid (MIMid)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Vähimad koostalitlusmehhanismid (MIMid)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