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Ελάχιστοι Μηχανισμοί Διαλειτουργικότητας (MIMs)</w:t>
      </w:r>
    </w:p>
    <w:p>
      <w:pPr>
        <w:spacing w:before="40" w:after="320"/>
        <w:jc w:val="center"/>
      </w:pPr>
      <w:r>
        <w:rPr>
          <w:b/>
          <w:i w:val="0"/>
          <w:color w:val="0B7485"/>
          <w:sz w:val="30"/>
        </w:rPr>
        <w:t>Τι να ορίσετε στα έγγραφα διαγωνισμού ώστε ο δήμος να διατηρεί τον έλεγχο των δεδομένων του</w:t>
      </w:r>
    </w:p>
    <w:p>
      <w:pPr>
        <w:spacing w:before="40" w:after="120"/>
        <w:jc w:val="center"/>
      </w:pPr>
      <w:r>
        <w:rPr>
          <w:b w:val="0"/>
          <w:i w:val="0"/>
          <w:color w:val="646B82"/>
          <w:sz w:val="22"/>
        </w:rPr>
        <w:t>Προδιαγραφή: MIMs Plus 9.0 από τον OASC</w:t>
      </w:r>
    </w:p>
    <w:p>
      <w:pPr>
        <w:spacing w:before="40" w:after="80"/>
        <w:jc w:val="center"/>
      </w:pPr>
      <w:r>
        <w:rPr>
          <w:b w:val="0"/>
          <w:i w:val="0"/>
          <w:color w:val="646B82"/>
          <w:sz w:val="18"/>
        </w:rPr>
        <w:t>Για στελέχη προμηθειών, διαχειριστές έργων και υπεύθυνους πληροφορικής ευρωπαϊκών δήμων</w:t>
      </w:r>
    </w:p>
    <w:p>
      <w:pPr>
        <w:spacing w:before="40" w:after="80"/>
        <w:jc w:val="center"/>
      </w:pPr>
      <w:r>
        <w:rPr>
          <w:b w:val="0"/>
          <w:i w:val="0"/>
          <w:color w:val="646B82"/>
          <w:sz w:val="17"/>
        </w:rPr>
        <w:t>Συγγραφέας του φυλλαδίου: Marek Mráz</w:t>
      </w:r>
    </w:p>
    <w:p>
      <w:r>
        <w:br w:type="page"/>
      </w:r>
    </w:p>
    <w:p>
      <w:pPr>
        <w:spacing w:before="120" w:after="160"/>
      </w:pPr>
      <w:r>
        <w:rPr>
          <w:b/>
          <w:i w:val="0"/>
          <w:color w:val="2F3F9E"/>
          <w:sz w:val="36"/>
        </w:rPr>
        <w:t>Σκοπός αυτού του φυλλαδίου</w:t>
      </w:r>
    </w:p>
    <w:p>
      <w:pPr>
        <w:spacing w:before="40" w:after="160"/>
      </w:pPr>
      <w:r>
        <w:rPr>
          <w:b w:val="0"/>
          <w:i w:val="0"/>
          <w:sz w:val="21"/>
        </w:rPr>
        <w:t>Κάθε χρόνο, οι πόλεις αγοράζουν λογισμικό: συστήματα στάθμευσης, πλατφόρμες αισθητήρων, χαρτογραφικές πύλες, ψηφιακά δίδυμα. Πολύ συχνά, τα δεδομένα που συλλέγουν αυτά τα συστήματα καταλήγουν κλειδωμένα στο εσωτερικό τους. Όταν λήγει η σύμβαση, τα δεδομένα —που έχουν χρηματοδοτηθεί με δημόσιους πόρους— χάνονται με την αποχώρηση του αναδόχου ή παραμένουν παγιδευμένα σε μορφή που κανένας άλλος δεν μπορεί να διαβάσει.</w:t>
      </w:r>
    </w:p>
    <w:p>
      <w:pPr>
        <w:spacing w:before="40" w:after="160"/>
      </w:pPr>
      <w:r>
        <w:rPr>
          <w:b w:val="0"/>
          <w:i w:val="0"/>
          <w:sz w:val="21"/>
        </w:rPr>
        <w:t>Δεν χρειάζεται να είναι έτσι. Οι Ελάχιστοι Μηχανισμοί Διαλειτουργικότητας (MIMs), που διατηρούνται από το Open &amp; Agile Smart Cities (OASC) και υποστηρίζονται μέσω του ευρωπαϊκού κινήματος living-in.eu, περιγράφουν τις ελάχιστες τεχνικές απαιτήσεις που διατηρούν τα δεδομένα σας ανοικτά, επαναχρησιμοποιήσιμα και ανεξάρτητα από προμηθευτές. Είναι σκόπιμα περιορισμένοι σε έκταση: όχι μια μεγάλη αρχιτεκτονική, μόνο οι λίγες συνθήκες που πρέπει να ισχύουν ώστε τα συστήματα να ανταλλάσσουν δεδομένα.</w:t>
      </w:r>
    </w:p>
    <w:p>
      <w:pPr>
        <w:spacing w:before="40" w:after="160"/>
      </w:pPr>
      <w:r>
        <w:rPr>
          <w:b w:val="0"/>
          <w:i w:val="0"/>
          <w:sz w:val="21"/>
        </w:rPr>
        <w:t>Δεν απαιτείται τεχνικό υπόβαθρο για τη χρήση αυτού του φυλλαδίου. Κάθε κατάλογος ελέγχου μετατρέπει έναν MIM σε απλά σημεία ελέγχου που μπορείτε να αντιγράψετε σε μια διακήρυξη, με τον λόγο για τον οποίο το καθένα σας προστατεύει. Αμέσως μετά τον κατάλογο ελέγχου βρίσκετε κάθε απαίτηση αυτού του MIM, λέξη προς λέξη, ώστε οι τεχνικοί σας συνεργάτες και οι προσφέροντες να μπορούν να ελέγξουν τις λεπτομέρειες.</w:t>
      </w:r>
    </w:p>
    <w:p>
      <w:pPr>
        <w:spacing w:before="40" w:after="160"/>
      </w:pPr>
      <w:r>
        <w:rPr>
          <w:b w:val="0"/>
          <w:i w:val="0"/>
          <w:sz w:val="21"/>
        </w:rPr>
        <w:t>Οι πόλεις που απαιτούν τους MIMs αγοράζουν μία φορά και επαναχρησιμοποιούν πολλές: τα δεδομένα ποιότητας αέρα τροφοδοτούν τον πίνακα ελέγχου (dashboard) των σχολείων, το μητρώο οδοφωτισμού τροφοδοτεί το ενεργειακό σχέδιο και ο επόμενος προμηθευτής συνεχίζει από εκεί που σταμάτησε ο προηγούμενος. Αυτό σημαίνει διαλειτουργικότητα στην πράξη — και αναμένεται ολοένα και περισσότερο σε έργα που χρηματοδοτούνται από την ΕΕ.</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“Οι ελάχιστοι μηχανισμοί διαλειτουργικότητας (MIMs) επιτρέπουν ένα ελάχιστο αλλά επαρκές επίπεδο διαλειτουργικότητας για δεδομένα, συστήματα και υπηρεσίες, ειδικά στο πλαίσιο λύσεων για έξυπνες πόλεις.</w:t>
              <w:br/>
              <w:t>Το κοινό στο οποίο απευθύνεται αυτό το έγγραφο είναι:</w:t>
              <w:br/>
              <w:t>1. Πάροχοι λύσεων που επιθυμούν να διασφαλίσουν ότι οι λύσεις τους είναι διαλειτουργικές με άλλες και επιτρέπουν την απρόσκοπτη ανταλλαγή δεδομένων σε περιβάλλον Έξυπνων Πόλεων και Κοινοτήτων.</w:t>
              <w:br/>
              <w:t>2. Αναθέτουσες αρχές που επιθυμούν να προμηθευτούν τεχνολογικά ανθεκτικές στον χρόνο λύσεις (future-proof) που επιτρέπουν οικονομικά αποδοτική ενσωμάτωση σε μια υφιστάμενη αρχιτεκτονική Τεχνολογιών Πληροφορικής και Επικοινωνιών (ΤΠΕ) Έξυπνων Πόλεων και Κοινοτήτων.”</w:t>
            </w:r>
          </w:p>
        </w:tc>
      </w:tr>
    </w:tbl>
    <w:p>
      <w:pPr>
        <w:spacing w:before="240" w:after="60"/>
      </w:pPr>
      <w:r>
        <w:rPr>
          <w:b/>
          <w:i w:val="0"/>
          <w:color w:val="2F3F9E"/>
          <w:sz w:val="22"/>
        </w:rPr>
        <w:t>Πώς συνδέονται οι MIMs με το δίκαιο της ΕΕ</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Οι MIMs αποτελούν τεχνική προδιαγραφή, όχι νόμο. Κινούνται στην ίδια κατεύθυνση με τους κανόνες της ΕΕ που εφαρμόζονται ήδη στα δημόσια δεδομένα και τις ψηφιακές υπηρεσίες:</w:t>
            </w:r>
          </w:p>
          <w:p>
            <w:pPr>
              <w:spacing w:before="20" w:after="60"/>
            </w:pPr>
            <w:r>
              <w:rPr>
                <w:b/>
                <w:i w:val="0"/>
                <w:color w:val="2F3F9E"/>
                <w:sz w:val="19"/>
              </w:rPr>
              <w:t>Οδηγία για τις δημόσιες συμβάσεις</w:t>
            </w:r>
            <w:r>
              <w:rPr>
                <w:b w:val="0"/>
                <w:i w:val="0"/>
                <w:color w:val="646B82"/>
                <w:sz w:val="17"/>
              </w:rPr>
              <w:t xml:space="preserve"> (Οδηγία 2014/24/ΕΕ, Άρθρο 42): </w:t>
            </w:r>
            <w:r>
              <w:rPr>
                <w:b w:val="0"/>
                <w:i w:val="0"/>
                <w:sz w:val="19"/>
              </w:rPr>
              <w:t>οι τεχνικές προδιαγραφές μπορούν να παραπέμπουν σε πρότυπα, πάντοτε με τη μνεία «ή ισοδύναμο»· κατά κανόνα δεν επιτρέπεται να κατονομάζουν συγκεκριμένη κατασκευή ή προϊόν.</w:t>
            </w:r>
          </w:p>
          <w:p>
            <w:pPr>
              <w:spacing w:before="20" w:after="60"/>
            </w:pPr>
            <w:r>
              <w:rPr>
                <w:b/>
                <w:i w:val="0"/>
                <w:color w:val="2F3F9E"/>
                <w:sz w:val="19"/>
              </w:rPr>
              <w:t>Πράξη για τα δεδομένα</w:t>
            </w:r>
            <w:r>
              <w:rPr>
                <w:b w:val="0"/>
                <w:i w:val="0"/>
                <w:color w:val="646B82"/>
                <w:sz w:val="17"/>
              </w:rPr>
              <w:t xml:space="preserve"> (Κανονισμός (ΕΕ) 2023/2854): </w:t>
            </w:r>
            <w:r>
              <w:rPr>
                <w:b w:val="0"/>
                <w:i w:val="0"/>
                <w:sz w:val="19"/>
              </w:rPr>
              <w:t>πρόσβαση σε δεδομένα από συνδεδεμένα προϊόντα και αλλαγή παρόχου υπολογιστικού νέφους χωρίς εγκλωβισμό.</w:t>
            </w:r>
          </w:p>
          <w:p>
            <w:pPr>
              <w:spacing w:before="20" w:after="60"/>
            </w:pPr>
            <w:r>
              <w:rPr>
                <w:b/>
                <w:i w:val="0"/>
                <w:color w:val="2F3F9E"/>
                <w:sz w:val="19"/>
              </w:rPr>
              <w:t>Πράξη για μια διαλειτουργική Ευρώπη</w:t>
            </w:r>
            <w:r>
              <w:rPr>
                <w:b w:val="0"/>
                <w:i w:val="0"/>
                <w:color w:val="646B82"/>
                <w:sz w:val="17"/>
              </w:rPr>
              <w:t xml:space="preserve"> (Κανονισμός (ΕΕ) 2024/903): </w:t>
            </w:r>
            <w:r>
              <w:rPr>
                <w:b w:val="0"/>
                <w:i w:val="0"/>
                <w:sz w:val="19"/>
              </w:rPr>
              <w:t>αξιολογήσεις διαλειτουργικότητας για διασυνοριακές ψηφιακές δημόσιες υπηρεσίες και επαναχρησιμοποίηση ανοικτών λύσεων.</w:t>
            </w:r>
          </w:p>
          <w:p>
            <w:pPr>
              <w:spacing w:before="20" w:after="60"/>
            </w:pPr>
            <w:r>
              <w:rPr>
                <w:b/>
                <w:i w:val="0"/>
                <w:color w:val="2F3F9E"/>
                <w:sz w:val="19"/>
              </w:rPr>
              <w:t>Οδηγία για τα ανοικτά δεδομένα</w:t>
            </w:r>
            <w:r>
              <w:rPr>
                <w:b w:val="0"/>
                <w:i w:val="0"/>
                <w:color w:val="646B82"/>
                <w:sz w:val="17"/>
              </w:rPr>
              <w:t xml:space="preserve"> (Οδηγία (ΕΕ) 2019/1024): </w:t>
            </w:r>
            <w:r>
              <w:rPr>
                <w:b w:val="0"/>
                <w:i w:val="0"/>
                <w:sz w:val="19"/>
              </w:rPr>
              <w:t>σύνολα δεδομένων υψηλής αξίας που δημοσιεύονται δωρεάν, σε μηχαναγνώσιμη μορφή, μέσω APIs.</w:t>
            </w:r>
          </w:p>
          <w:p>
            <w:pPr>
              <w:spacing w:before="20" w:after="60"/>
            </w:pPr>
            <w:r>
              <w:rPr>
                <w:b/>
                <w:i w:val="0"/>
                <w:color w:val="2F3F9E"/>
                <w:sz w:val="19"/>
              </w:rPr>
              <w:t>Οδηγία NIS2</w:t>
            </w:r>
            <w:r>
              <w:rPr>
                <w:b w:val="0"/>
                <w:i w:val="0"/>
                <w:color w:val="646B82"/>
                <w:sz w:val="17"/>
              </w:rPr>
              <w:t xml:space="preserve"> (Οδηγία (ΕΕ) 2022/2555): </w:t>
            </w:r>
            <w:r>
              <w:rPr>
                <w:b w:val="0"/>
                <w:i w:val="0"/>
                <w:sz w:val="19"/>
              </w:rPr>
              <w:t>βασικό επίπεδο κυβερνοασφάλειας· το εθνικό δίκαιο καθορίζει σε ποιον βαθμό καλύπτει την τοπική αυτοδιοίκηση.</w:t>
            </w:r>
          </w:p>
          <w:p>
            <w:pPr>
              <w:spacing w:before="20" w:after="60"/>
            </w:pPr>
            <w:r>
              <w:rPr>
                <w:b/>
                <w:i w:val="0"/>
                <w:color w:val="2F3F9E"/>
                <w:sz w:val="19"/>
              </w:rPr>
              <w:t>GDPR</w:t>
            </w:r>
            <w:r>
              <w:rPr>
                <w:b w:val="0"/>
                <w:i w:val="0"/>
                <w:color w:val="646B82"/>
                <w:sz w:val="17"/>
              </w:rPr>
              <w:t xml:space="preserve"> (Κανονισμός (ΕΕ) 2016/679): </w:t>
            </w:r>
            <w:r>
              <w:rPr>
                <w:b w:val="0"/>
                <w:i w:val="0"/>
                <w:sz w:val="19"/>
              </w:rPr>
              <w:t>δεδομένα προσωπικού χαρακτήρα σε δημοτικά συστήματα (στάθμευση, κάμερες, κινητικότητα).</w:t>
            </w:r>
          </w:p>
          <w:p>
            <w:pPr>
              <w:spacing w:before="20" w:after="60"/>
            </w:pPr>
            <w:r>
              <w:rPr>
                <w:b/>
                <w:i w:val="0"/>
                <w:color w:val="2F3F9E"/>
                <w:sz w:val="19"/>
              </w:rPr>
              <w:t>Πράξη για την ΤΝ</w:t>
            </w:r>
            <w:r>
              <w:rPr>
                <w:b w:val="0"/>
                <w:i w:val="0"/>
                <w:color w:val="646B82"/>
                <w:sz w:val="17"/>
              </w:rPr>
              <w:t xml:space="preserve"> (Κανονισμός (ΕΕ) 2024/1689): </w:t>
            </w:r>
            <w:r>
              <w:rPr>
                <w:b w:val="0"/>
                <w:i w:val="0"/>
                <w:sz w:val="19"/>
              </w:rPr>
              <w:t>κανόνες για συστήματα τεχνητής νοημοσύνης· κρίσιμο για μοντέλα ΤΝ σε ψηφιακά δίδυμα.</w:t>
            </w:r>
          </w:p>
          <w:p>
            <w:pPr>
              <w:spacing w:before="20" w:after="60"/>
            </w:pPr>
            <w:r>
              <w:rPr>
                <w:b w:val="0"/>
                <w:i/>
                <w:color w:val="646B82"/>
                <w:sz w:val="17"/>
              </w:rPr>
              <w:t>Μόνο για προσανατολισμό. Ελέγξτε πώς έχει ενσωματώσει η χώρα σας κάθε πράξη.</w:t>
            </w:r>
          </w:p>
        </w:tc>
      </w:tr>
    </w:tbl>
    <w:p>
      <w:r>
        <w:br w:type="page"/>
      </w:r>
    </w:p>
    <w:p>
      <w:pPr>
        <w:spacing w:before="120" w:after="160"/>
      </w:pPr>
      <w:r>
        <w:rPr>
          <w:b/>
          <w:i w:val="0"/>
          <w:color w:val="2F3F9E"/>
          <w:sz w:val="36"/>
        </w:rPr>
        <w:t>Πώς να χρησιμοποιήσετε αυτό το φυλλάδιο</w:t>
      </w:r>
    </w:p>
    <w:p>
      <w:pPr>
        <w:spacing w:before="40" w:after="120"/>
      </w:pPr>
      <w:r>
        <w:rPr>
          <w:b/>
          <w:i w:val="0"/>
          <w:color w:val="2F3F9E"/>
          <w:sz w:val="22"/>
        </w:rPr>
        <w:t xml:space="preserve">1. Προετοιμασία  </w:t>
      </w:r>
      <w:r>
        <w:rPr>
          <w:b w:val="0"/>
          <w:i w:val="0"/>
          <w:sz w:val="20"/>
        </w:rPr>
        <w:t>Διαβάστε τους επτά καταλόγους ελέγχου. Επιλέξτε αυτούς που ισχύουν για αυτό που προμηθεύεστε. Οι περισσότεροι διαγωνισμοί χρειάζονται τους MIM0, MIM1, MIM2 και MIM6· προσθέστε τον MIM3 όταν τα δεδομένα κοινοποιούνται σε τρίτους ή μέσω πύλης δεδομένων, τον MIM7 για οτιδήποτε περιλαμβάνει χάρτη, τον MIM8 για ψηφιακά δίδυμα.</w:t>
      </w:r>
    </w:p>
    <w:p>
      <w:pPr>
        <w:spacing w:before="40" w:after="120"/>
      </w:pPr>
      <w:r>
        <w:rPr>
          <w:b/>
          <w:i w:val="0"/>
          <w:color w:val="2F3F9E"/>
          <w:sz w:val="22"/>
        </w:rPr>
        <w:t xml:space="preserve">2. Διαγωνισμός  </w:t>
      </w:r>
      <w:r>
        <w:rPr>
          <w:b w:val="0"/>
          <w:i w:val="0"/>
          <w:sz w:val="20"/>
        </w:rPr>
        <w:t>Αντιγράψτε τα επιλεγμένα σημεία ελέγχου στις απαιτήσεις σας. Κάθε σημείο είναι διατυπωμένο ως πρόταση που μπορείτε να επικολλήσετε. Προσθέστε τις οριζόντιες ρήτρες: έχουν ελάχιστο κόστος και αποτρέπουν τον εγκλωβισμό.</w:t>
      </w:r>
    </w:p>
    <w:p>
      <w:pPr>
        <w:spacing w:before="40" w:after="120"/>
      </w:pPr>
      <w:r>
        <w:rPr>
          <w:b/>
          <w:i w:val="0"/>
          <w:color w:val="2F3F9E"/>
          <w:sz w:val="22"/>
        </w:rPr>
        <w:t xml:space="preserve">3. Αξιολόγηση  </w:t>
      </w:r>
      <w:r>
        <w:rPr>
          <w:b w:val="0"/>
          <w:i w:val="0"/>
          <w:sz w:val="20"/>
        </w:rPr>
        <w:t>Ζητήστε από τους προσφέροντες «Επίδειξη και όχι υποσχέσεις» (βλ. τη ρήτρα με αυτό το όνομα). Επαληθεύστε τη συμμόρφωση βάσει του πίνακα συμμόρφωσης που συμπλήρωσε ο προσφέρων.</w:t>
      </w:r>
    </w:p>
    <w:p>
      <w:pPr>
        <w:spacing w:before="40" w:after="120"/>
      </w:pPr>
      <w:r>
        <w:rPr>
          <w:b/>
          <w:i w:val="0"/>
          <w:color w:val="2F3F9E"/>
          <w:sz w:val="22"/>
        </w:rPr>
        <w:t xml:space="preserve">4. Παράδοση  </w:t>
      </w:r>
      <w:r>
        <w:rPr>
          <w:b w:val="0"/>
          <w:i w:val="0"/>
          <w:sz w:val="20"/>
        </w:rPr>
        <w:t>Κατά την παραλαβή, ελέγξτε ξανά κάθε σημείο που επιλέξατε. Μια απαίτηση που δεν ελέγχεται κατά την παράδοση δεν ήταν ποτέ πραγματική απαίτηση.</w:t>
      </w:r>
    </w:p>
    <w:p>
      <w:pPr>
        <w:spacing w:before="200" w:after="80"/>
      </w:pPr>
      <w:r>
        <w:rPr>
          <w:b/>
          <w:i w:val="0"/>
          <w:color w:val="0B7485"/>
          <w:sz w:val="22"/>
        </w:rPr>
        <w:t>Ανάγνωση των παραθεμάτων των προδιαγραφών</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ΥΠΟΧΡΕΟΥΤΑΙ / ΠΡΕΠΕΙ (SHALL / MUST)</w:t>
            </w:r>
            <w:r>
              <w:rPr>
                <w:b w:val="0"/>
                <w:i w:val="0"/>
                <w:sz w:val="19"/>
              </w:rPr>
              <w:t xml:space="preserve">  υποχρεωτικό. Το σύστημα δεν συμμορφώνεται χωρίς αυτό.</w:t>
            </w:r>
          </w:p>
          <w:p>
            <w:pPr>
              <w:spacing w:before="20" w:after="60"/>
            </w:pPr>
            <w:r>
              <w:rPr>
                <w:b/>
                <w:i w:val="0"/>
                <w:color w:val="2F3F9E"/>
                <w:sz w:val="19"/>
              </w:rPr>
              <w:t xml:space="preserve">•  </w:t>
            </w:r>
            <w:r>
              <w:rPr>
                <w:b/>
                <w:i w:val="0"/>
                <w:color w:val="2F3F9E"/>
                <w:sz w:val="19"/>
                <w:highlight w:val="yellow"/>
              </w:rPr>
              <w:t>ΔΕΝ ΠΡΕΠΕΙ (MUST NOT)</w:t>
            </w:r>
            <w:r>
              <w:rPr>
                <w:b w:val="0"/>
                <w:i w:val="0"/>
                <w:sz w:val="19"/>
              </w:rPr>
              <w:t xml:space="preserve">  απαγορεύεται. Ένα σύστημα που το πράττει δεν συμμορφώνεται.</w:t>
            </w:r>
          </w:p>
          <w:p>
            <w:pPr>
              <w:spacing w:before="20" w:after="60"/>
            </w:pPr>
            <w:r>
              <w:rPr>
                <w:b/>
                <w:i w:val="0"/>
                <w:color w:val="2F3F9E"/>
                <w:sz w:val="19"/>
              </w:rPr>
              <w:t xml:space="preserve">•  </w:t>
            </w:r>
            <w:r>
              <w:rPr>
                <w:b/>
                <w:i w:val="0"/>
                <w:color w:val="2F3F9E"/>
                <w:sz w:val="19"/>
                <w:highlight w:val="yellow"/>
              </w:rPr>
              <w:t>ΠΡΕΠΕΙ (SHOULD)</w:t>
            </w:r>
            <w:r>
              <w:rPr>
                <w:b w:val="0"/>
                <w:i w:val="0"/>
                <w:sz w:val="19"/>
              </w:rPr>
              <w:t xml:space="preserve">  συνιστάται ανεπιφύλακτα. Τυχόν αποκλίσεις απαιτούν τεκμηριωμένη γραπτή αιτιολόγηση.</w:t>
            </w:r>
          </w:p>
          <w:p>
            <w:pPr>
              <w:spacing w:before="20" w:after="60"/>
            </w:pPr>
            <w:r>
              <w:rPr>
                <w:b/>
                <w:i w:val="0"/>
                <w:color w:val="2F3F9E"/>
                <w:sz w:val="19"/>
              </w:rPr>
              <w:t xml:space="preserve">•  </w:t>
            </w:r>
            <w:r>
              <w:rPr>
                <w:b/>
                <w:i w:val="0"/>
                <w:color w:val="2F3F9E"/>
                <w:sz w:val="19"/>
                <w:highlight w:val="yellow"/>
              </w:rPr>
              <w:t>ΔΥΝΑΤΑΙ (MAY)</w:t>
            </w:r>
            <w:r>
              <w:rPr>
                <w:b w:val="0"/>
                <w:i w:val="0"/>
                <w:sz w:val="19"/>
              </w:rPr>
              <w:t xml:space="preserve">  προαιρετικό. Επιθυμητό, σε καμία περίπτωση απαιτούμενο.</w:t>
            </w:r>
          </w:p>
          <w:p>
            <w:pPr>
              <w:spacing w:before="20" w:after="60"/>
            </w:pPr>
            <w:r>
              <w:rPr>
                <w:b/>
                <w:i w:val="0"/>
                <w:color w:val="2F3F9E"/>
                <w:sz w:val="19"/>
              </w:rPr>
              <w:t xml:space="preserve">•  </w:t>
            </w:r>
            <w:r>
              <w:rPr>
                <w:b/>
                <w:i w:val="0"/>
                <w:color w:val="2F3F9E"/>
                <w:sz w:val="19"/>
                <w:highlight w:val="yellow"/>
              </w:rPr>
              <w:t>ΜΠΟΡΕΙ (CAN)</w:t>
            </w:r>
            <w:r>
              <w:rPr>
                <w:b w:val="0"/>
                <w:i w:val="0"/>
                <w:sz w:val="19"/>
              </w:rPr>
              <w:t xml:space="preserve">  μια δυνατότητα, όχι απαίτηση. Δηλώνει τι είναι εφικτό και δεν υποχρεώνει κανέναν.</w:t>
            </w:r>
          </w:p>
          <w:p>
            <w:pPr>
              <w:spacing w:before="20" w:after="60"/>
            </w:pPr>
            <w:r>
              <w:rPr>
                <w:b w:val="0"/>
                <w:i w:val="0"/>
                <w:sz w:val="19"/>
              </w:rPr>
              <w:t>Τα σημεία του καταλόγου ελέγχου διατυπώνουν κάθε σημείο ως απαίτηση ακόμη και εκεί όπου η προδιαγραφή απλώς συνιστά (should) ή παραθέτει έναν υποψήφιο μηχανισμό. Αυτό αποτελεί απόφαση της αναθέτουσας αρχής.</w:t>
            </w:r>
          </w:p>
        </w:tc>
      </w:tr>
    </w:tbl>
    <w:p>
      <w:pPr>
        <w:spacing w:before="160" w:after="80"/>
      </w:pPr>
      <w:r>
        <w:rPr>
          <w:b w:val="0"/>
          <w:i/>
          <w:color w:val="646B82"/>
          <w:sz w:val="18"/>
        </w:rPr>
        <w:t>Κάθε σημείο του καταλόγου ελέγχου φέρει μια σύντομη παραπομπή όπως → MIM0 R1.1. Αυτή είναι η απαίτηση στα MIMs Plus 9.0 από την οποία προέρχεται· αμέσως μετά τον κατάλογο ελέγχου θα βρείτε κάθε απαίτηση αυτού του MIM λέξη προς λέξη. Μόνο ο MIM0 ορίζει τις λέξεις-κλειδιά: έχουν ισχύ όταν γράφονται με κεφαλαία, σύμφωνα με τη σύμβαση των RFC 2119 και RFC 8174 του IETF (το CAN προέρχεται από τις Οδηγίες ISO/IEC, Μέρος 2). Οι άλλοι MIMs δεν περιλαμβάνουν ορισμό: ο MIM6 γράφει το SHALL κυρίως με κεφαλαία, οι MIM2, MIM3, MIM7 και MIM8 γράφουν shall, should και must με πεζά, και ο MIM1 τα χρησιμοποιεί μόνο στην περιγραφή ενός μηχανισμού (MUST NOT στην ενότητα 3.1). Το παρόν φυλλάδιο ερμηνεύει τις λέξεις με πεζά με τον ίδιο τρόπο· ένας προσφέρων ενδέχεται να τις ερμηνεύσει πιο χαλαρά.</w:t>
      </w:r>
    </w:p>
    <w:p>
      <w:r>
        <w:br w:type="page"/>
      </w:r>
    </w:p>
    <w:p>
      <w:pPr>
        <w:spacing w:before="120" w:after="160"/>
      </w:pPr>
      <w:r>
        <w:rPr>
          <w:b/>
          <w:i w:val="0"/>
          <w:color w:val="2F3F9E"/>
          <w:sz w:val="36"/>
        </w:rPr>
        <w:t>Επτά MIMs και τρία εργαλεία</w:t>
      </w:r>
    </w:p>
    <w:p>
      <w:pPr>
        <w:spacing w:before="40" w:after="200"/>
      </w:pPr>
      <w:r>
        <w:rPr>
          <w:b w:val="0"/>
          <w:i w:val="0"/>
          <w:sz w:val="21"/>
        </w:rPr>
        <w:t>Επτά απλοί μηχανισμοί, ένας στόχος: τα δεδομένα παραμένουν υπό τον έλεγχο του δήμου και τα συστήματα συνεργάζονται.</w:t>
      </w:r>
    </w:p>
    <w:p>
      <w:pPr>
        <w:spacing w:before="40" w:after="20"/>
      </w:pPr>
      <w:r>
        <w:rPr>
          <w:b/>
          <w:i w:val="0"/>
          <w:color w:val="2F3F9E"/>
          <w:sz w:val="20"/>
        </w:rPr>
        <w:t xml:space="preserve">MIM0  </w:t>
      </w:r>
      <w:r>
        <w:rPr>
          <w:b/>
          <w:i w:val="0"/>
          <w:sz w:val="20"/>
        </w:rPr>
        <w:t>Πρόσβαση σε δεδομένα</w:t>
      </w:r>
    </w:p>
    <w:p>
      <w:pPr>
        <w:spacing w:before="40" w:after="20"/>
      </w:pPr>
      <w:r>
        <w:rPr>
          <w:b/>
          <w:i w:val="0"/>
          <w:color w:val="0B7485"/>
          <w:sz w:val="19"/>
        </w:rPr>
        <w:t xml:space="preserve">Μπορούμε να εξαγάγουμε τα δεδομένα μας;  </w:t>
      </w:r>
      <w:r>
        <w:rPr>
          <w:b w:val="0"/>
          <w:i w:val="0"/>
          <w:sz w:val="19"/>
        </w:rPr>
        <w:t>Τα δεδομένα ανακτώνται μέσω τυποποιημένων διαδικτυακών APIs, σε μηχαναγνώσιμες μορφές.</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Διασύνδεση δεδομένων</w:t>
      </w:r>
    </w:p>
    <w:p>
      <w:pPr>
        <w:spacing w:before="40" w:after="20"/>
      </w:pPr>
      <w:r>
        <w:rPr>
          <w:b/>
          <w:i w:val="0"/>
          <w:color w:val="0B7485"/>
          <w:sz w:val="19"/>
        </w:rPr>
        <w:t xml:space="preserve">Έχει κάθε οντότητα ένα όνομα με διάρκεια στον χρόνο;  </w:t>
      </w:r>
      <w:r>
        <w:rPr>
          <w:b w:val="0"/>
          <w:i w:val="0"/>
          <w:sz w:val="19"/>
        </w:rPr>
        <w:t>Κάθε αισθητήρας, φωτιστικό και κτίριο έχει ένα μοναδικό, μόνιμο αναγνωριστικό.</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Αναπαράσταση δεδομένων</w:t>
      </w:r>
    </w:p>
    <w:p>
      <w:pPr>
        <w:spacing w:before="40" w:after="20"/>
      </w:pPr>
      <w:r>
        <w:rPr>
          <w:b/>
          <w:i w:val="0"/>
          <w:color w:val="0B7485"/>
          <w:sz w:val="19"/>
        </w:rPr>
        <w:t xml:space="preserve">Μιλάμε μια κοινή γλώσσα;  </w:t>
      </w:r>
      <w:r>
        <w:rPr>
          <w:b w:val="0"/>
          <w:i w:val="0"/>
          <w:sz w:val="19"/>
        </w:rPr>
        <w:t>Τα δεδομένα ακολουθούν τυποποιημένα, τεκμηριωμένα μοντέλα δεδομένων με ρητές μονάδες μέτρησης.</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Ανταλλαγή δεδομένων</w:t>
      </w:r>
    </w:p>
    <w:p>
      <w:pPr>
        <w:spacing w:before="40" w:after="20"/>
      </w:pPr>
      <w:r>
        <w:rPr>
          <w:b/>
          <w:i w:val="0"/>
          <w:color w:val="0B7485"/>
          <w:sz w:val="19"/>
        </w:rPr>
        <w:t xml:space="preserve">Μπορούμε να κάνουμε κοινή χρήση με σαφείς όρους;  </w:t>
      </w:r>
      <w:r>
        <w:rPr>
          <w:b w:val="0"/>
          <w:i w:val="0"/>
          <w:sz w:val="19"/>
        </w:rPr>
        <w:t>Τα σύνολα δεδομένων καταλογογραφούνται και διαμοιράζονται βάσει πρότυπων αδειών και σαφούς διακυβέρνησης.</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Ασφάλεια δεδομένων</w:t>
      </w:r>
    </w:p>
    <w:p>
      <w:pPr>
        <w:spacing w:before="40" w:after="20"/>
      </w:pPr>
      <w:r>
        <w:rPr>
          <w:b/>
          <w:i w:val="0"/>
          <w:color w:val="0B7485"/>
          <w:sz w:val="19"/>
        </w:rPr>
        <w:t xml:space="preserve">Είναι τα δεδομένα μας ασφαλή;  </w:t>
      </w:r>
      <w:r>
        <w:rPr>
          <w:b w:val="0"/>
          <w:i w:val="0"/>
          <w:sz w:val="19"/>
        </w:rPr>
        <w:t>Κρυπτογραφημένη μεταφορά, τυποποιημένη σύνδεση, πρόσβαση βάσει ρόλων, αρχεία καταγραφής ελέγχου.</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Γεωχωρικά δεδομένα</w:t>
      </w:r>
    </w:p>
    <w:p>
      <w:pPr>
        <w:spacing w:before="40" w:after="20"/>
      </w:pPr>
      <w:r>
        <w:rPr>
          <w:b/>
          <w:i w:val="0"/>
          <w:color w:val="0B7485"/>
          <w:sz w:val="19"/>
        </w:rPr>
        <w:t xml:space="preserve">Λειτουργεί σε χάρτη;  </w:t>
      </w:r>
      <w:r>
        <w:rPr>
          <w:b w:val="0"/>
          <w:i w:val="0"/>
          <w:sz w:val="19"/>
        </w:rPr>
        <w:t>Τα χωρικά δεδομένα χρησιμοποιούν διεπαφές OGC, ανοικτές μορφές και δηλωμένα συστήματα συντεταγμένων.</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Τοπικά ψηφιακά δίδυμα</w:t>
      </w:r>
    </w:p>
    <w:p>
      <w:pPr>
        <w:spacing w:before="40" w:after="20"/>
      </w:pPr>
      <w:r>
        <w:rPr>
          <w:b/>
          <w:i w:val="0"/>
          <w:color w:val="0B7485"/>
          <w:sz w:val="19"/>
        </w:rPr>
        <w:t xml:space="preserve">Μπορεί το ψηφιακό μας δίδυμο να αναπτυχθεί;  </w:t>
      </w:r>
      <w:r>
        <w:rPr>
          <w:b w:val="0"/>
          <w:i w:val="0"/>
          <w:sz w:val="19"/>
        </w:rPr>
        <w:t>Τα δεδομένα, τα μοντέλα και τα αποτελέσματα του διδύμου παραμένουν προσβάσιμα, τεκμηριωμένα και επαναχρησιμοποιήσιμα.</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Εργαλεία για τη διακήρυξή σας</w:t>
      </w:r>
    </w:p>
    <w:p>
      <w:pPr>
        <w:spacing w:before="40" w:after="20"/>
      </w:pPr>
      <w:r>
        <w:rPr>
          <w:b/>
          <w:i w:val="0"/>
          <w:color w:val="2F3F9E"/>
          <w:sz w:val="20"/>
        </w:rPr>
        <w:t>Οριζόντιες ρήτρες διακήρυξης</w:t>
      </w:r>
    </w:p>
    <w:p>
      <w:pPr>
        <w:spacing w:before="40" w:after="120"/>
      </w:pPr>
      <w:r>
        <w:rPr>
          <w:b/>
          <w:i w:val="0"/>
          <w:color w:val="0B7485"/>
          <w:sz w:val="19"/>
        </w:rPr>
        <w:t xml:space="preserve">Τι πρέπει να περιλαμβάνεται σε κάθε σύμβαση;  </w:t>
      </w:r>
      <w:r>
        <w:rPr>
          <w:b w:val="0"/>
          <w:i w:val="0"/>
          <w:sz w:val="19"/>
        </w:rPr>
        <w:t>Αποχώρηση, δικαιώματα επί των δεδομένων, σταθερότητα API.</w:t>
      </w:r>
    </w:p>
    <w:p>
      <w:pPr>
        <w:spacing w:before="40" w:after="20"/>
      </w:pPr>
      <w:r>
        <w:rPr>
          <w:b/>
          <w:i w:val="0"/>
          <w:color w:val="2F3F9E"/>
          <w:sz w:val="20"/>
        </w:rPr>
        <w:t>Παράδειγμα: αισθητήρες ποιότητας αέρα</w:t>
      </w:r>
    </w:p>
    <w:p>
      <w:pPr>
        <w:spacing w:before="40" w:after="120"/>
      </w:pPr>
      <w:r>
        <w:rPr>
          <w:b/>
          <w:i w:val="0"/>
          <w:color w:val="0B7485"/>
          <w:sz w:val="19"/>
        </w:rPr>
        <w:t xml:space="preserve">Πώς φαίνεται αυτό στην πράξη;  </w:t>
      </w:r>
      <w:r>
        <w:rPr>
          <w:b w:val="0"/>
          <w:i w:val="0"/>
          <w:sz w:val="19"/>
        </w:rPr>
        <w:t>Τι περιλαμβάνεται πού, και δείγμα κειμένου προς επικόλληση.</w:t>
      </w:r>
    </w:p>
    <w:p>
      <w:pPr>
        <w:spacing w:before="40" w:after="20"/>
      </w:pPr>
      <w:r>
        <w:rPr>
          <w:b/>
          <w:i w:val="0"/>
          <w:color w:val="2F3F9E"/>
          <w:sz w:val="20"/>
        </w:rPr>
        <w:t>Πίνακας συμμόρφωσης</w:t>
      </w:r>
    </w:p>
    <w:p>
      <w:pPr>
        <w:spacing w:before="40" w:after="120"/>
      </w:pPr>
      <w:r>
        <w:rPr>
          <w:b/>
          <w:i w:val="0"/>
          <w:color w:val="0B7485"/>
          <w:sz w:val="19"/>
        </w:rPr>
        <w:t xml:space="preserve">Πώς το αποδεικνύει ο προσφέρων;  </w:t>
      </w:r>
      <w:r>
        <w:rPr>
          <w:b w:val="0"/>
          <w:i w:val="0"/>
          <w:sz w:val="19"/>
        </w:rPr>
        <w:t>Συμπληρώνεται από τον προσφέροντα, επαληθεύεται από την επιτροπή, προσαρτάται στη σύμβαση.</w:t>
      </w:r>
    </w:p>
    <w:p>
      <w:pPr>
        <w:spacing w:before="80" w:after="80"/>
      </w:pPr>
      <w:r>
        <w:rPr>
          <w:b w:val="0"/>
          <w:i/>
          <w:color w:val="646B82"/>
          <w:sz w:val="18"/>
        </w:rPr>
        <w:t>Σχετικά με την αρίθμηση: Τα MIMs Plus 9.0 καθορίζουν επτά μηχανισμούς, με αρίθμηση 0, 1, 2, 3, 6, 7 και 8. Ο MIM4 (προσωπικά δεδομένα) και ο MIM5 (δίκαιη ΤΝ) ανήκουν σε προηγούμενες εκδόσεις του OASC και δεν αποτελούν μέρος της έκδοσης 9.0. Δεν λείπει τίποτα από αυτό το φυλλάδιο.</w:t>
      </w:r>
    </w:p>
    <w:p>
      <w:r>
        <w:br w:type="page"/>
      </w:r>
    </w:p>
    <w:p>
      <w:pPr>
        <w:spacing w:before="120" w:after="40"/>
      </w:pPr>
      <w:r>
        <w:rPr>
          <w:b/>
          <w:i w:val="0"/>
          <w:color w:val="2F3F9E"/>
          <w:sz w:val="36"/>
        </w:rPr>
        <w:t>MIM0 · Μπορούμε να εξαγάγουμε τα δεδομένα μας;</w:t>
      </w:r>
    </w:p>
    <w:p>
      <w:pPr>
        <w:spacing w:before="40" w:after="40"/>
      </w:pPr>
      <w:r>
        <w:rPr>
          <w:b w:val="0"/>
          <w:i w:val="0"/>
          <w:color w:val="646B82"/>
          <w:sz w:val="20"/>
        </w:rPr>
        <w:t xml:space="preserve">Πρόσβαση σε δεδομένα   </w:t>
      </w:r>
      <w:hyperlink r:id="rId13">
        <w:r>
          <w:rPr>
            <w:color w:val="2F3F9E"/>
            <w:u w:val="single"/>
            <w:sz w:val="17.0"/>
          </w:rPr>
          <w:t>mims.oascities.org/accessing-data</w:t>
        </w:r>
      </w:hyperlink>
    </w:p>
    <w:p>
      <w:pPr>
        <w:spacing w:before="120" w:after="200"/>
      </w:pPr>
      <w:r>
        <w:rPr>
          <w:b w:val="0"/>
          <w:i w:val="0"/>
          <w:sz w:val="20"/>
        </w:rPr>
        <w:t>Αυτή είναι η βάση. Εάν τα δεδομένα δεν μπορούν να εξέλθουν από το σύστημα μέσω μιας τυποποιημένης διεπαφής, οτιδήποτε άλλο σε αυτό το φυλλάδιο είναι θεωρία. Το MIM0 ζητά ένα πράγμα από κάθε σύστημα που αγοράζετε: τα δεδομένα πρέπει να είναι προσβάσιμα, σε μηχαναγνώσιμη μορφή, μέσω του συνήθους παγκόσμιου ιστού.</w:t>
      </w:r>
    </w:p>
    <w:p>
      <w:pPr>
        <w:spacing w:before="40" w:after="20"/>
      </w:pPr>
      <w:r>
        <w:rPr>
          <w:b/>
          <w:i w:val="0"/>
          <w:color w:val="2F3F9E"/>
          <w:sz w:val="22"/>
        </w:rPr>
        <w:t xml:space="preserve">☐  </w:t>
      </w:r>
      <w:r>
        <w:rPr>
          <w:b/>
          <w:i w:val="0"/>
          <w:color w:val="2F3F9E"/>
          <w:sz w:val="20"/>
        </w:rPr>
        <w:t xml:space="preserve">0.1  </w:t>
      </w:r>
      <w:r>
        <w:rPr>
          <w:b/>
          <w:i w:val="0"/>
          <w:sz w:val="20"/>
        </w:rPr>
        <w:t>Όλα τα δεδομένα που συλλέγει ή παράγει το σύστημα είναι ανακτήσιμα σε τουλάχιστον έναν μηχαναγνώσιμο μορφότυπο (π.χ. JSON, CSV) μέσω ενός τυποποιημένου API ιστού.</w:t>
      </w:r>
    </w:p>
    <w:p>
      <w:pPr>
        <w:spacing w:before="40" w:after="140"/>
      </w:pPr>
      <w:r>
        <w:rPr>
          <w:b w:val="0"/>
          <w:i/>
          <w:color w:val="646B82"/>
          <w:sz w:val="18"/>
        </w:rPr>
        <w:t xml:space="preserve">Ο επόμενος ανάδοχός σας — ή το δικό σας προσωπικό — μπορεί να χρησιμοποιήσει τα δεδομένα χωρίς να ρωτήσει τον προμηθευτή.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Το API περιγράφεται επίσημα σε ένα ανοικτό, μηχαναγνώσιμο έγγραφο (για παράδειγμα OpenAPI) που δημοσιεύεται σε σταθερή διεύθυνση.</w:t>
      </w:r>
    </w:p>
    <w:p>
      <w:pPr>
        <w:spacing w:before="40" w:after="140"/>
      </w:pPr>
      <w:r>
        <w:rPr>
          <w:b w:val="0"/>
          <w:i/>
          <w:color w:val="646B82"/>
          <w:sz w:val="18"/>
        </w:rPr>
        <w:t xml:space="preserve">Οποιοσδήποτε προγραμματιστής μπορεί να συνδεθεί χωρίς επί πληρωμή «εργαστήριο ολοκλήρωσης συστημάτων».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Τα δεδομένα μπορούν να φιλτράρονται βάσει χρόνου, τοποθεσίας και ιδιοτήτων απευθείας στο API.</w:t>
      </w:r>
    </w:p>
    <w:p>
      <w:pPr>
        <w:spacing w:before="40" w:after="140"/>
      </w:pPr>
      <w:r>
        <w:rPr>
          <w:b w:val="0"/>
          <w:i/>
          <w:color w:val="646B82"/>
          <w:sz w:val="18"/>
        </w:rPr>
        <w:t xml:space="preserve">Ανακτάτε ό,τι χρειάζεστε και όχι ένα πλήρες αντίγραφο δεδομένων κάθε βράδυ.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Όπου η περίπτωση χρήσης απαιτεί ζωντανά δεδομένα, οι καταναλωτές μπορούν να εγγράφονται σε αλλαγές (webhooks, MQTT ή παρόμοια) αντί για συνεχή υποβολή ερωτημάτων.</w:t>
      </w:r>
    </w:p>
    <w:p>
      <w:pPr>
        <w:spacing w:before="40" w:after="140"/>
      </w:pPr>
      <w:r>
        <w:rPr>
          <w:b w:val="0"/>
          <w:i/>
          <w:color w:val="646B82"/>
          <w:sz w:val="18"/>
        </w:rPr>
        <w:t xml:space="preserve">Οι πίνακες ελέγχου πραγματικού χρόνου και οι ειδοποιήσεις καθίστανται εφικτοί και οικονομικοί.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Τα σφάλματα, η προσωρινή αποθήκευση και τα όρια ρυθμού χρήσης ακολουθούν τις τυποποιημένες συμβάσεις HTTP και τεκμηριώνονται.</w:t>
      </w:r>
    </w:p>
    <w:p>
      <w:pPr>
        <w:spacing w:before="40" w:after="140"/>
      </w:pPr>
      <w:r>
        <w:rPr>
          <w:b w:val="0"/>
          <w:i/>
          <w:color w:val="646B82"/>
          <w:sz w:val="18"/>
        </w:rPr>
        <w:t xml:space="preserve">Οι ενοποιήσεις αποτυγχάνουν με σαφή και επιδιορθώσιμο τρόπο, όχι σιωπηρά.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ΓΙΑΤΊ ΈΧΕΙ ΣΗΜΑΣΊΑ</w:t>
            </w:r>
          </w:p>
          <w:p>
            <w:pPr>
              <w:spacing w:before="20" w:after="60"/>
            </w:pPr>
            <w:r>
              <w:rPr>
                <w:b/>
                <w:i w:val="0"/>
                <w:color w:val="2F3F9E"/>
                <w:sz w:val="18"/>
              </w:rPr>
              <w:t xml:space="preserve">•  </w:t>
            </w:r>
            <w:r>
              <w:rPr>
                <w:b w:val="0"/>
                <w:i w:val="0"/>
                <w:sz w:val="18"/>
              </w:rPr>
              <w:t>Τα δεδομένα για τα οποία πληρώσατε παραμένουν αξιοποιήσιμα μετά τη λήξη της σύμβασης.</w:t>
            </w:r>
          </w:p>
          <w:p>
            <w:pPr>
              <w:spacing w:before="20" w:after="60"/>
            </w:pPr>
            <w:r>
              <w:rPr>
                <w:b/>
                <w:i w:val="0"/>
                <w:color w:val="2F3F9E"/>
                <w:sz w:val="18"/>
              </w:rPr>
              <w:t xml:space="preserve">•  </w:t>
            </w:r>
            <w:r>
              <w:rPr>
                <w:b w:val="0"/>
                <w:i w:val="0"/>
                <w:sz w:val="18"/>
              </w:rPr>
              <w:t>Νέες υπηρεσίες βασίζονται σε παλαιότερα δεδομένα αντί να ξεκινούν από το μηδέν.</w:t>
            </w:r>
          </w:p>
          <w:p>
            <w:pPr>
              <w:spacing w:before="20" w:after="60"/>
            </w:pPr>
            <w:r>
              <w:rPr>
                <w:b/>
                <w:i w:val="0"/>
                <w:color w:val="2F3F9E"/>
                <w:sz w:val="18"/>
              </w:rPr>
              <w:t xml:space="preserve">•  </w:t>
            </w:r>
            <w:r>
              <w:rPr>
                <w:b w:val="0"/>
                <w:i w:val="0"/>
                <w:sz w:val="18"/>
              </w:rPr>
              <w:t>Το κόστος ενοποίησης μειώνεται για κάθε έργο που ακολουθεί.</w:t>
            </w:r>
          </w:p>
        </w:tc>
        <w:tc>
          <w:tcPr>
            <w:tcW w:type="dxa" w:w="4986"/>
            <w:shd w:val="clear" w:fill="FBEEEE"/>
          </w:tcPr>
          <w:p>
            <w:pPr>
              <w:spacing w:before="20" w:after="60"/>
            </w:pPr>
            <w:r>
              <w:rPr>
                <w:b/>
                <w:i w:val="0"/>
                <w:color w:val="A02020"/>
                <w:sz w:val="18"/>
              </w:rPr>
              <w:t>ΕΝΔΕΊΞΕΙΣ ΚΙΝΔΎΝΟΥ</w:t>
            </w:r>
          </w:p>
          <w:p>
            <w:pPr>
              <w:spacing w:before="20" w:after="60"/>
            </w:pPr>
            <w:r>
              <w:rPr>
                <w:b/>
                <w:i w:val="0"/>
                <w:color w:val="A02020"/>
                <w:sz w:val="18"/>
              </w:rPr>
              <w:t xml:space="preserve">•  </w:t>
            </w:r>
            <w:r>
              <w:rPr>
                <w:b w:val="0"/>
                <w:i w:val="0"/>
                <w:sz w:val="18"/>
              </w:rPr>
              <w:t>«Εξαγωγή δεδομένων κατόπιν αιτήματος μέσω της ομάδας υποστήριξής μας.»</w:t>
            </w:r>
          </w:p>
          <w:p>
            <w:pPr>
              <w:spacing w:before="20" w:after="60"/>
            </w:pPr>
            <w:r>
              <w:rPr>
                <w:b/>
                <w:i w:val="0"/>
                <w:color w:val="A02020"/>
                <w:sz w:val="18"/>
              </w:rPr>
              <w:t xml:space="preserve">•  </w:t>
            </w:r>
            <w:r>
              <w:rPr>
                <w:b w:val="0"/>
                <w:i w:val="0"/>
                <w:sz w:val="18"/>
              </w:rPr>
              <w:t>«Το API διατίθεται ως πρόσθετη μονάδα επί πληρωμή.»</w:t>
            </w:r>
          </w:p>
          <w:p>
            <w:pPr>
              <w:spacing w:before="20" w:after="60"/>
            </w:pPr>
            <w:r>
              <w:rPr>
                <w:b/>
                <w:i w:val="0"/>
                <w:color w:val="A02020"/>
                <w:sz w:val="18"/>
              </w:rPr>
              <w:t xml:space="preserve">•  </w:t>
            </w:r>
            <w:r>
              <w:rPr>
                <w:b w:val="0"/>
                <w:i w:val="0"/>
                <w:sz w:val="18"/>
              </w:rPr>
              <w:t>Χρέωση ανά αίτημα για τα δεδομένα του ίδιου του δήμου (βλ. τη ρήτρα «Χωρίς τέλη για τα δεδομένα του δήμου»).</w:t>
            </w:r>
          </w:p>
        </w:tc>
      </w:tr>
    </w:tbl>
    <w:p>
      <w:pPr>
        <w:spacing w:before="280" w:after="40"/>
      </w:pPr>
      <w:r>
        <w:rPr>
          <w:b/>
          <w:i w:val="0"/>
          <w:color w:val="2F3F9E"/>
          <w:sz w:val="26"/>
        </w:rPr>
        <w:t>Τι αναφέρει η προδιαγραφή</w:t>
      </w:r>
    </w:p>
    <w:p>
      <w:pPr>
        <w:spacing w:before="40" w:after="120"/>
      </w:pPr>
      <w:r>
        <w:rPr>
          <w:b w:val="0"/>
          <w:i w:val="0"/>
          <w:color w:val="646B82"/>
          <w:sz w:val="18"/>
        </w:rPr>
        <w:t>Κάθε απαίτηση αυτού του MIM, αυτολεξεί από τα MIMs Plus 9.0: Η προδιαγραφή υπάρχει μόνο στα αγγλικά: το κείμενο στην ελληνική γλώσσα αποτελεί ανεπίσημη μετάφραση από τον συντάκτη αυτού του φυλλαδίου· το αγγλικό πρωτότυπο που ακολουθεί είναι δεσμευτικό.</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Μηχαναγνώσιμα δεδομένα είναι ανακτήσιμα μέσω του διαδικτύου</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Τα συστήματα ΥΠΟΧΡΕΟΥΝΤΑΙ να επιτρέπουν την ανάκτηση δεδομένων σε τουλάχιστον έναν μηχαναγνώσιμο μορφότυπο. Οι μορφότυποι ΜΠΟΡΟΥΝ να καθορίζονται μέσω διαπραγμάτευσης περιεχομένου HTTP (HTTP Content-Negotiation)</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Τα δεδομένα ΠΡΕΠΕΙ να είναι ανακτήσιμα μέσω τουλάχιστον ενός τυποποιημένου διαδικτυακού μηχανισμού</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Ο/οι μηχανισμός/-οί πρόσβασης ΠΡΕΠΕΙ να περιγράφονται επίσημα</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Τα Μοντέλα Δεδομένων που χρησιμοποιούνται από τα ωφέλιμα φορτία θα πρέπει να προσδιορίζονται (βλ.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Η πρόσβαση είναι δομημένη και επιδέχεται αναζήτηση</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Τα συστήματα ΥΠΟΧΡΕΟΥΝΤΑΙ να παρέχουν δεδομένα μέσω μιας δομημένης και συνεπούς διεπαφής</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Τα συστήματα ΥΠΟΧΡΕΟΥΝΤΑΙ να υποστηρίζουν βασική αναζήτηση ή/και φιλτράρισμα (π.χ. βάσει χρόνου, τοποθεσίας, χαρακτηριστικών)</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Πρόσθετη βέλτιστη πρακτική προς εξέταση:</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Τα API ΠΡΕΠΕΙ να υποστηρίζουν την ανάκτηση τρεχόντων δεδομένων</w:t>
              <w:br/>
              <w:t>Τα API ΠΡΕΠΕΙ να υποστηρίζουν την ανάκτηση ιστορικών δεδομένων κατά περίπτωση</w:t>
              <w:br/>
              <w:t>Τα API ΠΡΕΠΕΙ να υποστηρίζουν γεωχωρικά ερωτήματα κατά περίπτωση (βλ. MIM7)</w:t>
              <w:br/>
              <w:t>Τα API ΠΡΕΠΕΙ να υποστηρίζουν την εγγραφή σε αλλαγές κατά περίπτωση</w:t>
              <w:br/>
              <w:t>Τα API ΠΡΕΠΕΙ να κοινοποιούν τη χρονοσφραγίδα της επόμενης αναμενόμενης ενημέρωσης</w:t>
              <w:br/>
              <w:t>Τα API ΠΡΕΠΕΙ να υποστηρίζουν ρητή διαχείριση εκδόσεων των endpoints</w:t>
              <w:br/>
              <w:t>Τα API ΠΡΕΠΕΙ να παρέχουν παραδείγματα ωφέλιμου φορτίου ή δοκιμαστικά ερωτήματα</w:t>
              <w:br/>
              <w:t>Τα API ΠΡΕΠΕΙ να υποστηρίζουν τυποποιημένες κεφαλίδες προσωρινής αποθήκευσης HTTP</w:t>
              <w:br/>
              <w:t>Τα API ΠΡΕΠΕΙ να γνωστοποιούν την κατάσταση ορίου ρυθμού αιτημάτων (rate limit) μέσω τυποποιημένων κεφαλίδων HTTP</w:t>
              <w:br/>
              <w:t>Τα API ΠΡΕΠΕΙ να επιστρέφουν δομημένα σώματα σφαλμάτων</w:t>
              <w:br/>
              <w:t>Τα API ΔΥΝΑΝΤΑΙ να υποστηρίζουν μερικές αποκρίσεις ή προβολές ερωτημάτων</w:t>
              <w:br/>
              <w:t>Τα API ΔΥΝΑΝΤΑΙ να παρέχουν ένα τυποποιημένο τελικό σημείο υγείας/κατάστασης (health/status)</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Είναι δυνατή η εγγραφή σε αλλαγές δεδομένων</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Τα συστήματα για περιπτώσεις χρήσης που απαιτούν ειδοποιήσεις ΥΠΟΧΡΕΟΥΝΤΑΙ να παρέχουν τουλάχιστον έναν μηχανισμό για τη λήψη ενημερώσεων σχετικά με αλλαγές δεδομένων</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Τα συστήματα ΔΥΝΑΝΤΑΙ να υποστηρίζουν πολλαπλούς μηχανισμούς εγγραφής ανάλογα με την περίπτωση χρήσης</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Η πρόσβαση σε πληροφορίες μπορεί να περιοριστεί</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Εάν ισχύουν τέτοιοι περιορισμοί, ΥΠΟΧΡΕΟΥΝΤΑΙ να ακολουθούν τις απαιτήσεις που ορίζονται στα MIM3 και MIM6, και συγκεκριμένα: ταυτοποίηση φορέα (MIM3.C5.R0), εξουσιοδότηση και ρόλοι φορέων (MIM6.C1.R4), πολιτικές σε επίπεδο στοιχείων δεδομένων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Πλήρης προδιαγραφή: </w:t>
      </w:r>
      <w:hyperlink r:id="rId13">
        <w:r>
          <w:rPr>
            <w:color w:val="2F3F9E"/>
            <w:u w:val="single"/>
            <w:sz w:val="18"/>
          </w:rPr>
          <w:t>https://mims.oascities.org/accessing-data</w:t>
        </w:r>
      </w:hyperlink>
    </w:p>
    <w:p>
      <w:r>
        <w:br w:type="page"/>
      </w:r>
    </w:p>
    <w:p>
      <w:pPr>
        <w:spacing w:before="120" w:after="40"/>
      </w:pPr>
      <w:r>
        <w:rPr>
          <w:b/>
          <w:i w:val="0"/>
          <w:color w:val="2F3F9E"/>
          <w:sz w:val="36"/>
        </w:rPr>
        <w:t>MIM1 · Έχει κάθε οντότητα ένα όνομα με διάρκεια στον χρόνο;</w:t>
      </w:r>
    </w:p>
    <w:p>
      <w:pPr>
        <w:spacing w:before="40" w:after="40"/>
      </w:pPr>
      <w:r>
        <w:rPr>
          <w:b w:val="0"/>
          <w:i w:val="0"/>
          <w:color w:val="646B82"/>
          <w:sz w:val="20"/>
        </w:rPr>
        <w:t xml:space="preserve">Διασύνδεση δεδομένων   </w:t>
      </w:r>
      <w:hyperlink r:id="rId14">
        <w:r>
          <w:rPr>
            <w:color w:val="2F3F9E"/>
            <w:u w:val="single"/>
            <w:sz w:val="17.0"/>
          </w:rPr>
          <w:t>mims.oascities.org/interlinking-data</w:t>
        </w:r>
      </w:hyperlink>
    </w:p>
    <w:p>
      <w:pPr>
        <w:spacing w:before="120" w:after="200"/>
      </w:pPr>
      <w:r>
        <w:rPr>
          <w:b w:val="0"/>
          <w:i w:val="0"/>
          <w:sz w:val="20"/>
        </w:rPr>
        <w:t>Μια πόλη είναι γεμάτη οντότητες: φωτιστικά, σωλήνες, κτίρια, θέσεις στάθμευσης. Τα συστήματα έρχονται και παρέρχονται, αλλά οι οντότητες παραμένουν. Το MIM1 απαιτεί κάθε οντότητα να λαμβάνει ένα όνομα — ένα αναγνωριστικό — που επιβιώνει του λογισμικού που το κατέγραψε αρχικά, ώστε το ιστορικό της και οι συνδέσεις της με άλλα δεδομένα να διατηρούνται σε κάθε μετάπτωση.</w:t>
      </w:r>
    </w:p>
    <w:p>
      <w:pPr>
        <w:spacing w:before="40" w:after="20"/>
      </w:pPr>
      <w:r>
        <w:rPr>
          <w:b/>
          <w:i w:val="0"/>
          <w:color w:val="2F3F9E"/>
          <w:sz w:val="22"/>
        </w:rPr>
        <w:t xml:space="preserve">☐  </w:t>
      </w:r>
      <w:r>
        <w:rPr>
          <w:b/>
          <w:i w:val="0"/>
          <w:color w:val="2F3F9E"/>
          <w:sz w:val="20"/>
        </w:rPr>
        <w:t xml:space="preserve">1.1  </w:t>
      </w:r>
      <w:r>
        <w:rPr>
          <w:b/>
          <w:i w:val="0"/>
          <w:sz w:val="20"/>
        </w:rPr>
        <w:t>Κάθε οντότητα (αισθητήρας, φωτιστικό, κτίριο, θέση στάθμευσης…) διαθέτει μοναδικό, μόνιμο αναγνωριστικό που δεν αλλάζει κατά την αντικατάσταση του λογισμικού.</w:t>
      </w:r>
    </w:p>
    <w:p>
      <w:pPr>
        <w:spacing w:before="40" w:after="140"/>
      </w:pPr>
      <w:r>
        <w:rPr>
          <w:b w:val="0"/>
          <w:i/>
          <w:color w:val="646B82"/>
          <w:sz w:val="18"/>
        </w:rPr>
        <w:t xml:space="preserve">Το ιστορικό και οι συνδέσεις μεταξύ συστημάτων επιβιώνουν του προμηθευτή.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Το αναγνωριστικό μπορεί να αναζητηθεί για την ανάκτηση των δεδομένων της οντότητας και της σημασίας της (τύπος) με μηχαναγνώσιμο τρόπο.</w:t>
      </w:r>
    </w:p>
    <w:p>
      <w:pPr>
        <w:spacing w:before="40" w:after="140"/>
      </w:pPr>
      <w:r>
        <w:rPr>
          <w:b w:val="0"/>
          <w:i/>
          <w:color w:val="646B82"/>
          <w:sz w:val="18"/>
        </w:rPr>
        <w:t xml:space="preserve">Άλλα συστήματα μπορούν να ακολουθήσουν τη σύνδεση αυτόματα.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Όπου η ίδια πραγματική οντότητα υπάρχει σε πολλά συστήματα, τα αναγνωριστικά μπορούν να αντιστοιχιστούν μεταξύ τους.</w:t>
      </w:r>
    </w:p>
    <w:p>
      <w:pPr>
        <w:spacing w:before="40" w:after="140"/>
      </w:pPr>
      <w:r>
        <w:rPr>
          <w:b w:val="0"/>
          <w:i/>
          <w:color w:val="646B82"/>
          <w:sz w:val="18"/>
        </w:rPr>
        <w:t xml:space="preserve">Το κτίριο στο GIS και το κτίριο στο σύστημα ενέργειας αποδεικνύεται ότι ταυτίζονται.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Τα αναγνωριστικά δεν ενσωματώνουν εσωτερικά στοιχεία του αναδόχου (αναγνωριστικά γραμμών βάσης δεδομένων, ονόματα διακομιστών).</w:t>
      </w:r>
    </w:p>
    <w:p>
      <w:pPr>
        <w:spacing w:before="40" w:after="140"/>
      </w:pPr>
      <w:r>
        <w:rPr>
          <w:b w:val="0"/>
          <w:i/>
          <w:color w:val="646B82"/>
          <w:sz w:val="18"/>
        </w:rPr>
        <w:t xml:space="preserve">Διαφορετικά, τα αναγνωριστικά χάνονται μαζί με τη σύμβαση.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ΓΙΑΤΊ ΈΧΕΙ ΣΗΜΑΣΊΑ</w:t>
            </w:r>
          </w:p>
          <w:p>
            <w:pPr>
              <w:spacing w:before="20" w:after="60"/>
            </w:pPr>
            <w:r>
              <w:rPr>
                <w:b/>
                <w:i w:val="0"/>
                <w:color w:val="2F3F9E"/>
                <w:sz w:val="18"/>
              </w:rPr>
              <w:t xml:space="preserve">•  </w:t>
            </w:r>
            <w:r>
              <w:rPr>
                <w:b w:val="0"/>
                <w:i w:val="0"/>
                <w:sz w:val="18"/>
              </w:rPr>
              <w:t>Δέκα χρόνια μετρήσεων παραμένουν συνδεδεμένα με τον σωστό στύλο φωτισμού.</w:t>
            </w:r>
          </w:p>
          <w:p>
            <w:pPr>
              <w:spacing w:before="20" w:after="60"/>
            </w:pPr>
            <w:r>
              <w:rPr>
                <w:b/>
                <w:i w:val="0"/>
                <w:color w:val="2F3F9E"/>
                <w:sz w:val="18"/>
              </w:rPr>
              <w:t xml:space="preserve">•  </w:t>
            </w:r>
            <w:r>
              <w:rPr>
                <w:b w:val="0"/>
                <w:i w:val="0"/>
                <w:sz w:val="18"/>
              </w:rPr>
              <w:t>Οι υπηρεσίες παύουν να διατηρούν πέντε αντικρουόμενα μητρώα των ίδιων στοιχείων.</w:t>
            </w:r>
          </w:p>
          <w:p>
            <w:pPr>
              <w:spacing w:before="20" w:after="60"/>
            </w:pPr>
            <w:r>
              <w:rPr>
                <w:b/>
                <w:i w:val="0"/>
                <w:color w:val="2F3F9E"/>
                <w:sz w:val="18"/>
              </w:rPr>
              <w:t xml:space="preserve">•  </w:t>
            </w:r>
            <w:r>
              <w:rPr>
                <w:b w:val="0"/>
                <w:i w:val="0"/>
                <w:sz w:val="18"/>
              </w:rPr>
              <w:t>Η σύνδεση συνόλων δεδομένων γίνεται απλό ερώτημα και όχι συμβουλευτικό έργο.</w:t>
            </w:r>
          </w:p>
        </w:tc>
        <w:tc>
          <w:tcPr>
            <w:tcW w:type="dxa" w:w="4986"/>
            <w:shd w:val="clear" w:fill="FBEEEE"/>
          </w:tcPr>
          <w:p>
            <w:pPr>
              <w:spacing w:before="20" w:after="60"/>
            </w:pPr>
            <w:r>
              <w:rPr>
                <w:b/>
                <w:i w:val="0"/>
                <w:color w:val="A02020"/>
                <w:sz w:val="18"/>
              </w:rPr>
              <w:t>ΕΝΔΕΊΞΕΙΣ ΚΙΝΔΎΝΟΥ</w:t>
            </w:r>
          </w:p>
          <w:p>
            <w:pPr>
              <w:spacing w:before="20" w:after="60"/>
            </w:pPr>
            <w:r>
              <w:rPr>
                <w:b/>
                <w:i w:val="0"/>
                <w:color w:val="A02020"/>
                <w:sz w:val="18"/>
              </w:rPr>
              <w:t xml:space="preserve">•  </w:t>
            </w:r>
            <w:r>
              <w:rPr>
                <w:b w:val="0"/>
                <w:i w:val="0"/>
                <w:sz w:val="18"/>
              </w:rPr>
              <w:t>«Τα αναγνωριστικά είναι εσωτερικά στην πλατφόρμα μας.»</w:t>
            </w:r>
          </w:p>
          <w:p>
            <w:pPr>
              <w:spacing w:before="20" w:after="60"/>
            </w:pPr>
            <w:r>
              <w:rPr>
                <w:b/>
                <w:i w:val="0"/>
                <w:color w:val="A02020"/>
                <w:sz w:val="18"/>
              </w:rPr>
              <w:t xml:space="preserve">•  </w:t>
            </w:r>
            <w:r>
              <w:rPr>
                <w:b w:val="0"/>
                <w:i w:val="0"/>
                <w:sz w:val="18"/>
              </w:rPr>
              <w:t>Τα αναγνωριστικά αναδημιουργούνται σε κάθε μετάπτωση δεδομένων.</w:t>
            </w:r>
          </w:p>
        </w:tc>
      </w:tr>
    </w:tbl>
    <w:p>
      <w:pPr>
        <w:spacing w:before="280" w:after="40"/>
      </w:pPr>
      <w:r>
        <w:rPr>
          <w:b/>
          <w:i w:val="0"/>
          <w:color w:val="2F3F9E"/>
          <w:sz w:val="26"/>
        </w:rPr>
        <w:t>Τι αναφέρει η προδιαγραφή</w:t>
      </w:r>
    </w:p>
    <w:p>
      <w:pPr>
        <w:spacing w:before="40" w:after="120"/>
      </w:pPr>
      <w:r>
        <w:rPr>
          <w:b w:val="0"/>
          <w:i w:val="0"/>
          <w:color w:val="646B82"/>
          <w:sz w:val="18"/>
        </w:rPr>
        <w:t>Κάθε απαίτηση αυτού του MIM, αυτολεξεί από τα MIMs Plus 9.0: Η προδιαγραφή υπάρχει μόνο στα αγγλικά: το κείμενο στην ελληνική γλώσσα αποτελεί ανεπίσημη μετάφραση από τον συντάκτη αυτού του φυλλαδίου· το αγγλικό πρωτότυπο που ακολουθεί είναι δεσμευτικό.</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Οι οντότητες ταυτοποιούνται με χρήση μοναδικών αναγνωριστικών</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Κάθε οντότητα εντός του συστήματος διαθέτει ένα μοναδικό αναγνωριστικό</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Υπάρχει τρόπος ανάκτησης πληροφοριών σχετικά με μια οντότητα μέσω της αναζήτησης του αναγνωριστικού εντός ενός συστήματος</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Εάν ένα μοναδικό αναγνωριστικό υποδεικνύει την ίδια οντότητα σε πολλαπλά συστήματα, είναι δυνατή η εξαγωγή του τρόπου αναζήτησης πληροφοριών για αυτήν σε καθένα από αυτά τα συστήματα</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Εάν πολλαπλά μοναδικά αναγνωριστικά υποδεικνύουν την ίδια οντότητα, είναι δυνατή η αντιστοίχισή τους</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Είναι δυνατή η δημιουργία αναγνωριστικών που παραμένουν σταθερά στον χρόνο</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Οι οντότητες μπορούν να έχουν τύπο</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Υπάρχει τρόπος ανάκτησης της σημασιολογίας μιας οντότητας, χρησιμοποιώντας μόνο το μοναδικό της αναγνωριστικό</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Αυτή η σημασιολογία περιγράφεται σε μηχαναγνώσιμο μορφότυπο</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Οι οντότητες μπορούν να συσχετίζονται και να επιλύονται μέσω παραπομπής</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Υπάρχει τρόπος επίλυσης (dereference) μιας σχέσης που ορίζεται σε μια οντότητα</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Υπάρχει τρόπος εφαρμογής πρόσθετης σημασιολογίας σε μια υπάρχουσα οντολογία</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Μηχανισμός 1, ενότητα 3.1: Ταυτοποίηση Οντοτήτων με Παγκοσμίως Μοναδικά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Το IRI αντιμετωπίζεται ως το κανονικό αναγνωριστικό σε όλα τα επακόλουθα συστήματα (downstream systems)· οι υλοποιήσεις ΔΕΝ ΠΡΕΠΕΙ να δημιουργούν IRI που ενσωματώνουν ευμετάβλητες λεπτομέρειες υλοποίησης, όπως αναγνωριστικά γραμμών βάσης δεδομένων ή ονόματα κεντρικών υπολογιστών (hostnames).</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Πλήρης προδιαγραφή: </w:t>
      </w:r>
      <w:hyperlink r:id="rId14">
        <w:r>
          <w:rPr>
            <w:color w:val="2F3F9E"/>
            <w:u w:val="single"/>
            <w:sz w:val="18"/>
          </w:rPr>
          <w:t>https://mims.oascities.org/interlinking-data</w:t>
        </w:r>
      </w:hyperlink>
    </w:p>
    <w:p>
      <w:r>
        <w:br w:type="page"/>
      </w:r>
    </w:p>
    <w:p>
      <w:pPr>
        <w:spacing w:before="120" w:after="40"/>
      </w:pPr>
      <w:r>
        <w:rPr>
          <w:b/>
          <w:i w:val="0"/>
          <w:color w:val="2F3F9E"/>
          <w:sz w:val="36"/>
        </w:rPr>
        <w:t>MIM2 · Μιλάμε μια κοινή γλώσσα;</w:t>
      </w:r>
    </w:p>
    <w:p>
      <w:pPr>
        <w:spacing w:before="40" w:after="40"/>
      </w:pPr>
      <w:r>
        <w:rPr>
          <w:b w:val="0"/>
          <w:i w:val="0"/>
          <w:color w:val="646B82"/>
          <w:sz w:val="20"/>
        </w:rPr>
        <w:t xml:space="preserve">Αναπαράσταση δεδομένων   </w:t>
      </w:r>
      <w:hyperlink r:id="rId15">
        <w:r>
          <w:rPr>
            <w:color w:val="2F3F9E"/>
            <w:u w:val="single"/>
            <w:sz w:val="17.0"/>
          </w:rPr>
          <w:t>mims.oascities.org/representing-data</w:t>
        </w:r>
      </w:hyperlink>
    </w:p>
    <w:p>
      <w:pPr>
        <w:spacing w:before="120" w:after="200"/>
      </w:pPr>
      <w:r>
        <w:rPr>
          <w:b w:val="0"/>
          <w:i w:val="0"/>
          <w:sz w:val="20"/>
        </w:rPr>
        <w:t>Δύο συστήματα μπορούν να εξάγουν και τα δύο JSON και παρ' όλα αυτά να μην κατανοούνται μεταξύ τους. Το MIM2 αφορά τη σημασιολογία: τη χρήση κοινών, τεκμηριωμένων μοντέλων δεδομένων — με ρητές μονάδες μέτρησης και μορφοτύπους — έτσι ώστε η «θερμοκρασία», η «θέση στάθμευσης» ή η «ποιότητα αέρα» να σημαίνουν το ίδιο σε κάθε σύστημα που κατέχετε.</w:t>
      </w:r>
    </w:p>
    <w:p>
      <w:pPr>
        <w:spacing w:before="40" w:after="20"/>
      </w:pPr>
      <w:r>
        <w:rPr>
          <w:b/>
          <w:i w:val="0"/>
          <w:color w:val="2F3F9E"/>
          <w:sz w:val="22"/>
        </w:rPr>
        <w:t xml:space="preserve">☐  </w:t>
      </w:r>
      <w:r>
        <w:rPr>
          <w:b/>
          <w:i w:val="0"/>
          <w:color w:val="2F3F9E"/>
          <w:sz w:val="20"/>
        </w:rPr>
        <w:t xml:space="preserve">2.1  </w:t>
      </w:r>
      <w:r>
        <w:rPr>
          <w:b/>
          <w:i w:val="0"/>
          <w:sz w:val="20"/>
        </w:rPr>
        <w:t>Τα δεδομένα χρησιμοποιούν ευρέως αναγνωρισμένα πρότυπα μοντέλα δεδομένων όπου αυτά υπάρχουν (π.χ. Smart Data Models, SAREF, ISO/IEC 5087)· οι αποκλίσεις αιτιολογούνται γραπτώς.</w:t>
      </w:r>
    </w:p>
    <w:p>
      <w:pPr>
        <w:spacing w:before="40" w:after="140"/>
      </w:pPr>
      <w:r>
        <w:rPr>
          <w:b w:val="0"/>
          <w:i/>
          <w:color w:val="646B82"/>
          <w:sz w:val="18"/>
        </w:rPr>
        <w:t xml:space="preserve">Δεδομένα από δύο προμηθευτές συγχωνεύονται χωρίς έργο μετατροπής.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Όλα τα χρησιμοποιούμενα μοντέλα δεδομένων τεκμηριώνονται ρητά, με αναγραφή των μονάδων μέτρησης και των μορφοτύπων ημερομηνίας/ώρας.</w:t>
      </w:r>
    </w:p>
    <w:p>
      <w:pPr>
        <w:spacing w:before="40" w:after="140"/>
      </w:pPr>
      <w:r>
        <w:rPr>
          <w:b w:val="0"/>
          <w:i/>
          <w:color w:val="646B82"/>
          <w:sz w:val="18"/>
        </w:rPr>
        <w:t xml:space="preserve">Η ένδειξη «Θερμοκρασία: 23» είναι άχρηστη αν κανείς δεν κατέγραψε εάν πρόκειται για °C ή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Οι επεκτάσεις παραδίδονται ως τεκμηριωμένα προφίλ/προσθήκες πάνω στο πρότυπο μοντέλο — ποτέ ως τροποποιημένο ιδιωτικό fork.</w:t>
      </w:r>
    </w:p>
    <w:p>
      <w:pPr>
        <w:spacing w:before="40" w:after="140"/>
      </w:pPr>
      <w:r>
        <w:rPr>
          <w:b w:val="0"/>
          <w:i/>
          <w:color w:val="646B82"/>
          <w:sz w:val="18"/>
        </w:rPr>
        <w:t xml:space="preserve">Παραμένετε συμβατοί με την κοινότητα και τις μελλοντικές ενημερώσεις.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Κάθε μοντέλο διαθέτει τουλάχιστον μία ανοικτή σειριοποίηση με δυνατότητα επικύρωσης βάσει σχήματος (π.χ. JSON με JSON Schema).</w:t>
      </w:r>
    </w:p>
    <w:p>
      <w:pPr>
        <w:spacing w:before="40" w:after="140"/>
      </w:pPr>
      <w:r>
        <w:rPr>
          <w:b w:val="0"/>
          <w:i/>
          <w:color w:val="646B82"/>
          <w:sz w:val="18"/>
        </w:rPr>
        <w:t xml:space="preserve">Τα εισερχόμενα δεδομένα μπορούν να ελέγχονται αυτόματα κατά την εισαγωγή.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ΓΙΑΤΊ ΈΧΕΙ ΣΗΜΑΣΊΑ</w:t>
            </w:r>
          </w:p>
          <w:p>
            <w:pPr>
              <w:spacing w:before="20" w:after="60"/>
            </w:pPr>
            <w:r>
              <w:rPr>
                <w:b/>
                <w:i w:val="0"/>
                <w:color w:val="2F3F9E"/>
                <w:sz w:val="18"/>
              </w:rPr>
              <w:t xml:space="preserve">•  </w:t>
            </w:r>
            <w:r>
              <w:rPr>
                <w:b w:val="0"/>
                <w:i w:val="0"/>
                <w:sz w:val="18"/>
              </w:rPr>
              <w:t>Ένας ενιαίος πίνακας οργάνων διαβάζει δεδομένα από πολλούς προμηθευτές χωρίς προσαρμογείς.</w:t>
            </w:r>
          </w:p>
          <w:p>
            <w:pPr>
              <w:spacing w:before="20" w:after="60"/>
            </w:pPr>
            <w:r>
              <w:rPr>
                <w:b/>
                <w:i w:val="0"/>
                <w:color w:val="2F3F9E"/>
                <w:sz w:val="18"/>
              </w:rPr>
              <w:t xml:space="preserve">•  </w:t>
            </w:r>
            <w:r>
              <w:rPr>
                <w:b w:val="0"/>
                <w:i w:val="0"/>
                <w:sz w:val="18"/>
              </w:rPr>
              <w:t>Τα δεδομένα σας γίνονται κατανοητά από τα εργαλεία άλλων πόλεων — και τα δικά τους από τα δικά σας.</w:t>
            </w:r>
          </w:p>
          <w:p>
            <w:pPr>
              <w:spacing w:before="20" w:after="60"/>
            </w:pPr>
            <w:r>
              <w:rPr>
                <w:b/>
                <w:i w:val="0"/>
                <w:color w:val="2F3F9E"/>
                <w:sz w:val="18"/>
              </w:rPr>
              <w:t xml:space="preserve">•  </w:t>
            </w:r>
            <w:r>
              <w:rPr>
                <w:b w:val="0"/>
                <w:i w:val="0"/>
                <w:sz w:val="18"/>
              </w:rPr>
              <w:t>Η αυτόματη επικύρωση εντοπίζει εσφαλμένα δεδομένα πριν αυτά εξαπλωθούν.</w:t>
            </w:r>
          </w:p>
        </w:tc>
        <w:tc>
          <w:tcPr>
            <w:tcW w:type="dxa" w:w="4986"/>
            <w:shd w:val="clear" w:fill="FBEEEE"/>
          </w:tcPr>
          <w:p>
            <w:pPr>
              <w:spacing w:before="20" w:after="60"/>
            </w:pPr>
            <w:r>
              <w:rPr>
                <w:b/>
                <w:i w:val="0"/>
                <w:color w:val="A02020"/>
                <w:sz w:val="18"/>
              </w:rPr>
              <w:t>ΕΝΔΕΊΞΕΙΣ ΚΙΝΔΎΝΟΥ</w:t>
            </w:r>
          </w:p>
          <w:p>
            <w:pPr>
              <w:spacing w:before="20" w:after="60"/>
            </w:pPr>
            <w:r>
              <w:rPr>
                <w:b/>
                <w:i w:val="0"/>
                <w:color w:val="A02020"/>
                <w:sz w:val="18"/>
              </w:rPr>
              <w:t xml:space="preserve">•  </w:t>
            </w:r>
            <w:r>
              <w:rPr>
                <w:b w:val="0"/>
                <w:i w:val="0"/>
                <w:sz w:val="18"/>
              </w:rPr>
              <w:t>«Το ιδιόκτητο μοντέλο δεδομένων μας είναι πιο πλούσιο από το πρότυπο.»</w:t>
            </w:r>
          </w:p>
          <w:p>
            <w:pPr>
              <w:spacing w:before="20" w:after="60"/>
            </w:pPr>
            <w:r>
              <w:rPr>
                <w:b/>
                <w:i w:val="0"/>
                <w:color w:val="A02020"/>
                <w:sz w:val="18"/>
              </w:rPr>
              <w:t xml:space="preserve">•  </w:t>
            </w:r>
            <w:r>
              <w:rPr>
                <w:b w:val="0"/>
                <w:i w:val="0"/>
                <w:sz w:val="18"/>
              </w:rPr>
              <w:t>Τεκμηρίωση διαθέσιμη μόνο βάσει NDA.</w:t>
            </w:r>
          </w:p>
        </w:tc>
      </w:tr>
    </w:tbl>
    <w:p>
      <w:pPr>
        <w:spacing w:before="280" w:after="40"/>
      </w:pPr>
      <w:r>
        <w:rPr>
          <w:b/>
          <w:i w:val="0"/>
          <w:color w:val="2F3F9E"/>
          <w:sz w:val="26"/>
        </w:rPr>
        <w:t>Τι αναφέρει η προδιαγραφή</w:t>
      </w:r>
    </w:p>
    <w:p>
      <w:pPr>
        <w:spacing w:before="40" w:after="120"/>
      </w:pPr>
      <w:r>
        <w:rPr>
          <w:b w:val="0"/>
          <w:i w:val="0"/>
          <w:color w:val="646B82"/>
          <w:sz w:val="18"/>
        </w:rPr>
        <w:t>Κάθε απαίτηση αυτού του MIM, αυτολεξεί από τα MIMs Plus 9.0: Η προδιαγραφή υπάρχει μόνο στα αγγλικά: το κείμενο στην ελληνική γλώσσα αποτελεί ανεπίσημη μετάφραση από τον συντάκτη αυτού του φυλλαδίου· το αγγλικό πρωτότυπο που ακολουθεί είναι δεσμευτικό.</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Όλες οι οντότητες που περιλαμβάνονται στις πηγές δεδομένων περιγράφονται με συνεπή μοντέλα δεδομένων για διαλειτουργικότητα</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Τα μοντέλα δεδομένων που χρησιμοποιούνται για όλες τις οντότητες σε οποιαδήποτε πηγή δεδομένων πρέπει να καθίστανται ρητά. Πρέπει να είναι καλά τεκμηριωμένα και να διαθέτουν περιγραφικά μεταδεδομένα, όπου οι χρησιμοποιούμενοι όροι πρέπει να είναι σημασιολογικά σαφείς. Για χαρακτηριστικά που σχετίζονται με μονάδες μέτρησης, μορφές ώρας κ.λπ., οι μονάδες, οι μορφές κ.λπ. που χρησιμοποιούνται πρέπει να καθίστανται ρητές. Τα μοντέλα δεδομένων πρέπει να καταλογογραφούνται ώστε να είναι εύκολα ανευρέσιμα.</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Τα μοντέλα δεδομένων που χρησιμοποιούνται πρέπει να βασίζονται (όπου είναι δυνατόν) σε κοινώς αναγνωρισμένα τυποποιημένα μοντέλα δεδομένων, όπως αναφέρονται παρακάτω</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Όταν δεν είναι δυνατή η χρήση υπαρχόντων τυποποιημένων μοντέλων δεδομένων, πρέπει να καταβάλλονται προσπάθειες για την επέκταση υπαρχόντων τυποποιημένων μοντέλων δεδομένων που είναι πλησιέστερα ευθυγραμμισμένα ή για τον ορισμό νέων, ακολουθώντας τις βέλτιστες πρακτικές και συμβάσεις της κοινότητας ή του οργανισμού που ορίζει τα μοντέλα δεδομένων.</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Τα μοντέλα δεδομένων που χρησιμοποιούνται πρέπει να υποστηρίζουν την ανταλλαγή δεδομένων χρησιμοποιώντας τις σχετικές απαιτήσεις των MIM σχετικά με την Πρόσβαση σε δεδομένα και τη Διασύνδεση δεδομένων</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Διαφορετικά μοντέλα δεδομένων για την ίδια οντότητα σε ένα κοινό οικοσύστημα πρέπει να μετασχηματίζονται εύκολα</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Ένα κοινό μοντέλο δεδομένων για κάθε βασική οντότητα πρέπει να αναπτύσσεται για κάθε οικοσύστημα δεδομένων. Αυτό το κοινό μοντέλο δεδομένων πρέπει να περιέχει όλα τα πεδία που περιλαμβάνονται στα διάφορα μοντέλα δεδομένων για τη συγκεκριμένη οντότητα τα οποία χρησιμοποιούνται εντός αυτού του οικοσυστήματος δεδομένων. Κάθε διαφορετικό μοντέλο δεδομένων που χρησιμοποιείται εντός αυτού του οικοσυστήματος δεδομένων θα μπορούσε στη συνέχεια να μετασχηματιστεί στο κοινό μοντέλο δεδομένων.</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Δεδομένα και μεταδεδομένα κοινοποιούνται σε ανοικτούς μορφοτύπους μεταφοράς για συνεπή ανταλλαγή και ερμηνεία</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Κάθε μοντέλο δεδομένων που χρησιμοποιείται πρέπει να διαθέτει τουλάχιστον έναν καθορισμένο μηχαναγνώσιμο μορφότυπο μεταφοράς δεδομένων («σειριοποίηση») ο οποίος είναι ανοικτός, διαθέσιμος στο κοινό και ανεξάρτητος από την υλοποίηση.</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Η τεκμηρίωση του μορφοτύπου μεταφοράς δεδομένων θα πρέπει να είναι επαρκής ώστε να επιτρέπει τη δημιουργία μη ιδιοταγούς εφαρμογής ή προγράμματος διερμηνείας που να είναι σε θέση να ανακατασκευάσει όλα τα δεδομένα που αποθηκεύονται σε έναν τέτοιο μορφότυπο δεδομένων.</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Όταν υποστηρίζονται πολλαπλοί μορφότυποι μεταφοράς δεδομένων για το ίδιο μοντέλο δεδομένων, πρέπει να αναπαριστούν το ίδιο περιεχόμενο πληροφοριών με συνέπεια και χωρίς απώλεια νοήματος.</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Η αναπαράσταση πρέπει να υποστηρίζει επικύρωση χρησιμοποιώντας ανοικτά δημοσιευμένα σχήματα, γραμματικές ή ισοδύναμους μηχαναγνώσιμους περιορισμούς, όπου υπάρχουν τέτοιοι μηχανισμοί επικύρωσης για τον επιλεγμένο μορφότυπο.</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Όταν είναι χρήσιμο, πρέπει να είναι δυνατή η δημιουργία «Προφίλ Εφαρμογής» για προσθήκη ειδικών χαρακτηριστικών</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Τα Προφίλ Εφαρμογής που επεκτείνουν ένα μοντέλο δεδομένων δεν πρέπει να επηρεάζουν το ήδη υπάρχον μοντέλο και τους χρήστες του</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Οι εξειδικεύσεις ή επεκτάσεις που εισάγονται στο Προφίλ Εφαρμογής του μοντέλου πρέπει να είναι καλά τεκμηριωμένες, ανεξάρτητα από το βασικό μοντέλο δεδομένων</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Πλήρης προδιαγραφή: </w:t>
      </w:r>
      <w:hyperlink r:id="rId15">
        <w:r>
          <w:rPr>
            <w:color w:val="2F3F9E"/>
            <w:u w:val="single"/>
            <w:sz w:val="18"/>
          </w:rPr>
          <w:t>https://mims.oascities.org/representing-data</w:t>
        </w:r>
      </w:hyperlink>
    </w:p>
    <w:p>
      <w:r>
        <w:br w:type="page"/>
      </w:r>
    </w:p>
    <w:p>
      <w:pPr>
        <w:spacing w:before="120" w:after="40"/>
      </w:pPr>
      <w:r>
        <w:rPr>
          <w:b/>
          <w:i w:val="0"/>
          <w:color w:val="2F3F9E"/>
          <w:sz w:val="36"/>
        </w:rPr>
        <w:t>MIM3 · Μπορούμε να κάνουμε κοινή χρήση με σαφείς όρους;</w:t>
      </w:r>
    </w:p>
    <w:p>
      <w:pPr>
        <w:spacing w:before="40" w:after="40"/>
      </w:pPr>
      <w:r>
        <w:rPr>
          <w:b w:val="0"/>
          <w:i w:val="0"/>
          <w:color w:val="646B82"/>
          <w:sz w:val="20"/>
        </w:rPr>
        <w:t xml:space="preserve">Ανταλλαγή δεδομένων   </w:t>
      </w:r>
      <w:hyperlink r:id="rId16">
        <w:r>
          <w:rPr>
            <w:color w:val="2F3F9E"/>
            <w:u w:val="single"/>
            <w:sz w:val="17.0"/>
          </w:rPr>
          <w:t>mims.oascities.org/exchanging-data</w:t>
        </w:r>
      </w:hyperlink>
    </w:p>
    <w:p>
      <w:pPr>
        <w:spacing w:before="120" w:after="200"/>
      </w:pPr>
      <w:r>
        <w:rPr>
          <w:b w:val="0"/>
          <w:i w:val="0"/>
          <w:sz w:val="20"/>
        </w:rPr>
        <w:t>Δεν μπορούν να δημοσιεύονται απλώς όλα τα δεδομένα της πόλης: ορισμένα είναι εμπορικά, άλλα ευαίσθητα. Το MIM3 αφορά την ασφαλή κοινοχρησία των υπολοίπων: έναν κατάλογο με δυνατότητα αναζήτησης, άδειες βάσει προτύπων αντί για ειδικά συνταγμένα νομικά κείμενα, και κανόνες διακυβέρνησης αναγνώσιμους από όλους. Η προδιαγραφή διατυπώνει σχεδόν ολόκληρο το MIM3 ως σύσταση (βλ. σελ. 3).</w:t>
      </w:r>
    </w:p>
    <w:p>
      <w:pPr>
        <w:spacing w:before="40" w:after="20"/>
      </w:pPr>
      <w:r>
        <w:rPr>
          <w:b/>
          <w:i w:val="0"/>
          <w:color w:val="2F3F9E"/>
          <w:sz w:val="22"/>
        </w:rPr>
        <w:t xml:space="preserve">☐  </w:t>
      </w:r>
      <w:r>
        <w:rPr>
          <w:b/>
          <w:i w:val="0"/>
          <w:color w:val="2F3F9E"/>
          <w:sz w:val="20"/>
        </w:rPr>
        <w:t xml:space="preserve">3.1  </w:t>
      </w:r>
      <w:r>
        <w:rPr>
          <w:b/>
          <w:i w:val="0"/>
          <w:sz w:val="20"/>
        </w:rPr>
        <w:t>Κάθε σύνολο δεδομένων που προσφέρει το σύστημα περιγράφεται με τυποποιημένα μεταδεδομένα (για παράδειγμα DCAT-AP) σε έναν κατάλογο, ώστε άλλοι να μπορούν να το ανακαλύψουν.</w:t>
      </w:r>
    </w:p>
    <w:p>
      <w:pPr>
        <w:spacing w:before="40" w:after="140"/>
      </w:pPr>
      <w:r>
        <w:rPr>
          <w:b w:val="0"/>
          <w:i/>
          <w:color w:val="646B82"/>
          <w:sz w:val="18"/>
        </w:rPr>
        <w:t xml:space="preserve">Δεδομένα που κανείς δεν μπορεί να βρει είναι δεδομένα που κανείς δεν χρησιμοποιεί.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Οι όροι και οι άδειες χρήσης δεδομένων προέρχονται από γνωστά πρότυπα (π.χ. ανοικτές άδειες, τυποποιημένες συμφωνίες κοινοχρησίας δεδομένων), όχι από ειδικά συνταγμένα νομικά κείμενα ανά σύνολο δεδομένων.</w:t>
      </w:r>
    </w:p>
    <w:p>
      <w:pPr>
        <w:spacing w:before="40" w:after="140"/>
      </w:pPr>
      <w:r>
        <w:rPr>
          <w:b w:val="0"/>
          <w:i/>
          <w:color w:val="646B82"/>
          <w:sz w:val="18"/>
        </w:rPr>
        <w:t xml:space="preserve">Οι συμφωνίες κλιμακώνονται χωρίς νομικό έλεγχο ανά περίπτωση.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Ο δήμος μπορεί να ορίζει ποιος έχει πρόσβαση σε ποιο στοιχείο δεδομένων και υπό ποιες προϋποθέσεις, καθώς και να τροποποιεί τα ανωτέρω χωρίς την παρέμβαση του προμηθευτή.</w:t>
      </w:r>
    </w:p>
    <w:p>
      <w:pPr>
        <w:spacing w:before="40" w:after="140"/>
      </w:pPr>
      <w:r>
        <w:rPr>
          <w:b w:val="0"/>
          <w:i/>
          <w:color w:val="646B82"/>
          <w:sz w:val="18"/>
        </w:rPr>
        <w:t xml:space="preserve">Η διακυβέρνηση παραμένει στον δήμο.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ΓΙΑΤΊ ΈΧΕΙ ΣΗΜΑΣΊΑ</w:t>
            </w:r>
          </w:p>
          <w:p>
            <w:pPr>
              <w:spacing w:before="20" w:after="60"/>
            </w:pPr>
            <w:r>
              <w:rPr>
                <w:b/>
                <w:i w:val="0"/>
                <w:color w:val="2F3F9E"/>
                <w:sz w:val="18"/>
              </w:rPr>
              <w:t xml:space="preserve">•  </w:t>
            </w:r>
            <w:r>
              <w:rPr>
                <w:b w:val="0"/>
                <w:i w:val="0"/>
                <w:sz w:val="18"/>
              </w:rPr>
              <w:t>Τοπικές επιχειρήσεις και ερευνητές βασίζονται στα δεδομένα της πόλης — η αξία παραμένει στην περιοχή.</w:t>
            </w:r>
          </w:p>
          <w:p>
            <w:pPr>
              <w:spacing w:before="20" w:after="60"/>
            </w:pPr>
            <w:r>
              <w:rPr>
                <w:b/>
                <w:i w:val="0"/>
                <w:color w:val="2F3F9E"/>
                <w:sz w:val="18"/>
              </w:rPr>
              <w:t xml:space="preserve">•  </w:t>
            </w:r>
            <w:r>
              <w:rPr>
                <w:b w:val="0"/>
                <w:i w:val="0"/>
                <w:sz w:val="18"/>
              </w:rPr>
              <w:t>Τα ευαίσθητα δεδομένα μπορούν να κοινοποιηθούν ακριβώς στους κατάλληλους εταίρους, όχι σε όλους ή σε κανέναν.</w:t>
            </w:r>
          </w:p>
          <w:p>
            <w:pPr>
              <w:spacing w:before="20" w:after="60"/>
            </w:pPr>
            <w:r>
              <w:rPr>
                <w:b/>
                <w:i w:val="0"/>
                <w:color w:val="2F3F9E"/>
                <w:sz w:val="18"/>
              </w:rPr>
              <w:t xml:space="preserve">•  </w:t>
            </w:r>
            <w:r>
              <w:rPr>
                <w:b w:val="0"/>
                <w:i w:val="0"/>
                <w:sz w:val="18"/>
              </w:rPr>
              <w:t>Ένα ενιαίο σύνολο κανόνων αντικαθιστά πολλές μεμονωμένες συμβάσεις κοινοχρησίας δεδομένων.</w:t>
            </w:r>
          </w:p>
        </w:tc>
        <w:tc>
          <w:tcPr>
            <w:tcW w:type="dxa" w:w="4986"/>
            <w:shd w:val="clear" w:fill="FBEEEE"/>
          </w:tcPr>
          <w:p>
            <w:pPr>
              <w:spacing w:before="20" w:after="60"/>
            </w:pPr>
            <w:r>
              <w:rPr>
                <w:b/>
                <w:i w:val="0"/>
                <w:color w:val="A02020"/>
                <w:sz w:val="18"/>
              </w:rPr>
              <w:t>ΕΝΔΕΊΞΕΙΣ ΚΙΝΔΎΝΟΥ</w:t>
            </w:r>
          </w:p>
          <w:p>
            <w:pPr>
              <w:spacing w:before="20" w:after="60"/>
            </w:pPr>
            <w:r>
              <w:rPr>
                <w:b/>
                <w:i w:val="0"/>
                <w:color w:val="A02020"/>
                <w:sz w:val="18"/>
              </w:rPr>
              <w:t xml:space="preserve">•  </w:t>
            </w:r>
            <w:r>
              <w:rPr>
                <w:b w:val="0"/>
                <w:i w:val="0"/>
                <w:sz w:val="18"/>
              </w:rPr>
              <w:t>Ο προμηθευτής διεκδικεί δικαιώματα επί των δεδομένων του δήμου (βλ. τη ρήτρα «Δικαιώματα επί των δεδομένων»).</w:t>
            </w:r>
          </w:p>
          <w:p>
            <w:pPr>
              <w:spacing w:before="20" w:after="60"/>
            </w:pPr>
            <w:r>
              <w:rPr>
                <w:b/>
                <w:i w:val="0"/>
                <w:color w:val="A02020"/>
                <w:sz w:val="18"/>
              </w:rPr>
              <w:t xml:space="preserve">•  </w:t>
            </w:r>
            <w:r>
              <w:rPr>
                <w:b w:val="0"/>
                <w:i w:val="0"/>
                <w:sz w:val="18"/>
              </w:rPr>
              <w:t>Η κοινοχρησία με τρίτους απαιτεί τη συγκατάθεση του προμηθευτή ή την καταβολή τελών.</w:t>
            </w:r>
          </w:p>
        </w:tc>
      </w:tr>
    </w:tbl>
    <w:p>
      <w:pPr>
        <w:spacing w:before="280" w:after="40"/>
      </w:pPr>
      <w:r>
        <w:rPr>
          <w:b/>
          <w:i w:val="0"/>
          <w:color w:val="2F3F9E"/>
          <w:sz w:val="26"/>
        </w:rPr>
        <w:t>Τι αναφέρει η προδιαγραφή</w:t>
      </w:r>
    </w:p>
    <w:p>
      <w:pPr>
        <w:spacing w:before="40" w:after="120"/>
      </w:pPr>
      <w:r>
        <w:rPr>
          <w:b w:val="0"/>
          <w:i w:val="0"/>
          <w:color w:val="646B82"/>
          <w:sz w:val="18"/>
        </w:rPr>
        <w:t>Κάθε απαίτηση αυτού του MIM, αυτολεξεί από τα MIMs Plus 9.0: Η προδιαγραφή υπάρχει μόνο στα αγγλικά: το κείμενο στην ελληνική γλώσσα αποτελεί ανεπίσημη μετάφραση από τον συντάκτη αυτού του φυλλαδίου· το αγγλικό πρωτότυπο που ακολουθεί είναι δεσμευτικό.</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Μπορούν να οριστούν κανόνες διακυβέρνησης για το οικοσύστημα κοινοχρησίας δεδομένων</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Ο ενορχηστρωτής ενός οικοσυστήματος δεδομένων πρέπει να είναι σε θέση να ορίζει ένα μοντέλο διακυβέρνησης (π.χ. ένα εγχειρίδιο κανόνων) που περιγράφει τους κανόνες συμμετοχής, τους ρόλους, τις ευθύνες και τις υποχρεώσεις των συμμετεχόντων στο οικοσύστημα, καθώς και τις γενικές αρχές που διέπουν την ανταλλαγή δεδομένων μεταξύ τους.</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Τα μέλη που συμμετέχουν σε ένα οικοσύστημα δεδομένων πρέπει να γνωρίζουν το μοντέλο διακυβέρνησής του και τυχόν αλλαγές που πραγματοποιούνται σε αυτό.</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Το μοντέλο διακυβέρνησης πρέπει να είναι εύκολα κατανοητό από όλους τους συμμετέχοντες στο οικοσύστημα.</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Μπορούν να οριστούν όροι και προϋποθέσεις για την κοινοχρησία δεδομένων</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Οι πάροχοι δεδομένων είναι ελεύθεροι να ορίζουν τους όρους και τις προϋποθέσεις υπό τις οποίες επιθυμούν να ανταλλάσσονται τα δεδομένα τους. (Σημείωση: Πριν από την κοινοχρησία στοιχείων δεδομένων, οι πάροχοι δεδομένων πρέπει να διασφαλίζουν ότι έχουν επαρκή άδεια από τους κατόχους των δεδομένων.)</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Οι όροι και οι προϋποθέσεις για μια ανταλλαγή δεδομένων πρέπει να περιγράφονται με σαφήνεια και χωρίς αμφισημίες, ώστε να είναι εύκολα κατανοητοί από τους χρήστες δεδομένων.</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Οι όροι και οι προϋποθέσεις για μια ανταλλαγή δεδομένων πρέπει να εκφράζονται μέσω αδειών δεδομένων ή συμφωνιών κοινοχρησίας δεδομένων που βασίζονται σε σαφώς καθορισμένα πρότυπα ή υποδείγματα.</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Οι όροι και οι προϋποθέσεις πρέπει να ευθυγραμμίζονται με το γενικό μοντέλο διακυβέρνησης του οικοσυστήματος δεδομένων και δεν πρέπει να έρχονται σε σύγκρουση με αυτό. (Σημείωση: Ένας πάροχος δεδομένων μπορεί να αποφασίσει να μη συμμετάσχει σε ένα οικοσύστημα δεδομένων εάν το υποκείμενο μοντέλο διακυβέρνησης είναι υπερβολικά περιοριστικό ή υπερβολικά ανεκτικό.)</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Μπορεί να επικυρωθεί η συμμόρφωση με τους όρους και τις προϋποθέσεις κοινοχρησίας δεδομένων</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Ο ενορχηστρωτής ενός οικοσυστήματος δεδομένων πρέπει να είναι σε θέση να εξακριβώνει τη συμμόρφωση των συμμετεχόντων του με το υποκείμενο μοντέλο διακυβέρνησης.</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Οι πάροχοι δεδομένων πρέπει να είναι σε θέση να εξακριβώνουν ότι η χρήση των δεδομένων από έναν χρήστη δεδομένων συμμορφώνεται με τους προηγουμένως συμφωνηθέντες όρους και προϋποθέσεις.</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Οι χρήστες δεδομένων πρέπει να είναι σε θέση να εξακριβώνουν ότι η παροχή δεδομένων από τον πάροχο δεδομένων ακολουθεί τους προηγουμένως συμφωνηθέντες όρους και προϋποθέσεις.</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Μπορούν να ανακαλυφθούν διαθέσιμα στοιχεία δεδομένων</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Οι χρήστες δεδομένων πρέπει να είναι σε θέση να ανακαλύπτουν ποια δεδομένα είναι διαθέσιμα σε ένα οικοσύστημα κοινοχρησίας δεδομένων χωρίς προηγούμενη γνώση αυτών.</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Τα στοιχεία δεδομένων πρέπει να περιγράφονται επαρκώς με μεταδεδομένα, ώστε οι χρήστες δεδομένων να μπορούν να λαμβάνουν αξιόπιστες αποφάσεις σχετικά με την περαιτέρω σκοπούμενη χρήση τους.</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Τα μεταδεδομένα που χρησιμοποιούνται για την περιγραφή στοιχείων δεδομένων πρέπει να βασίζονται σε σαφώς καθορισμένους, εύκολα κατανοητούς μορφοτύπους περιγραφής που είναι τόσο αναγνώσιμοι από ανθρώπους όσο και μηχαναγνώσιμοι.</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Μπορούν να ανακαλυφθούν συμμετέχοντες στο οικοσύστημα</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Οι συμμετέχοντες στο οικοσύστημα (π.χ. χρήστες και πάροχοι δεδομένων) πρέπει να είναι σε θέση να ανακαλύπτουν ο ένας τον άλλον εντός ενός οικοσυστήματος κοινοχρησίας δεδομένων.</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Επαρκή μεταδεδομένα για κάθε συμμετέχοντα στο οικοσύστημα πρέπει να είναι διαθέσιμα για την εξακρίβωση της αξιοπιστίας τους που είναι σχετική με την ανταλλαγή δεδομένων.</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Οι πάροχοι δεδομένων πρέπει να είναι σε θέση να ταυτοποιούν αξιόπιστα τους χρήστες δεδομένων που επιθυμούν να αποκτήσουν πρόσβαση στα στοιχεία δεδομένων τους και να επαληθεύουν τα μεταδεδομένα τους πριν από τη χορήγηση πρόσβασης.</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Οι χρήστες δεδομένων πρέπει να είναι σε θέση να ταυτοποιούν τους παρόχους δεδομένων που κοινοποιούν δεδομένα σε ένα οικοσύστημα δεδομένων πριν από την πρόσβαση ή τη χρήση αυτών των δεδομένων.</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Οι συμμετέχοντες στο οικοσύστημα δύνανται επίσης να επιλέξουν να παραμείνουν ανώνυμοι εάν το μοντέλο διακυβέρνησης του οικοσυστήματος κοινοχρησίας δεδομένων το επιτρέπει. Σε αυτήν την περίπτωση, τα RC5.1 έως RC5.4 μπορούν να αγνοηθούν.</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Η ανταλλαγή δεδομένων μπορεί να συμφωνηθεί</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Οι χρήστες και οι πάροχοι δεδομένων πρέπει να είναι σε θέση να συμφωνούν για μια ανταλλαγή δεδομένων και τους όρους και τις προϋποθέσεις που σχετίζονται με αυτήν (π.χ. αποδοχή όρων, νομική υπογραφή συμφωνίας ή διαπραγμάτευση).</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Οι χρήστες και οι πάροχοι δεδομένων πρέπει να είναι σε θέση να τερματίζουν μια προηγουμένως συμφωνηθείσα ανταλλαγή δεδομένων σύμφωνα με τους όρους και τις προϋποθέσεις που σχετίζονται με αυτήν.</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Όπου είναι δυνατόν, ηλεκτρονικά μέσα για τη συμφωνία και τον τερματισμό μιας ανταλλαγής δεδομένων δύναται να παρέχονται.</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Μπορούν να ζητηθούν νέα δεδομένα που δεν είναι επί του παρόντος διαθέσιμα</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Οι χρήστες δεδομένων πρέπει να είναι σε θέση να εκφράζουν το ενδιαφέρον τους για στοιχεία δεδομένων που δεν είναι επί του παρόντος διαθέσιμα στο οικοσύστημα κοινοχρησίας δεδομένων.</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Οι πάροχοι δεδομένων πρέπει να είναι σε θέση να λαμβάνουν αιτήματα που υποβάλλονται από χρήστες δεδομένων για νέα στοιχεία δεδομένων.</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Πλήρης προδιαγραφή: </w:t>
      </w:r>
      <w:hyperlink r:id="rId16">
        <w:r>
          <w:rPr>
            <w:color w:val="2F3F9E"/>
            <w:u w:val="single"/>
            <w:sz w:val="18"/>
          </w:rPr>
          <w:t>https://mims.oascities.org/exchanging-data</w:t>
        </w:r>
      </w:hyperlink>
    </w:p>
    <w:p>
      <w:r>
        <w:br w:type="page"/>
      </w:r>
    </w:p>
    <w:p>
      <w:pPr>
        <w:spacing w:before="120" w:after="40"/>
      </w:pPr>
      <w:r>
        <w:rPr>
          <w:b/>
          <w:i w:val="0"/>
          <w:color w:val="2F3F9E"/>
          <w:sz w:val="36"/>
        </w:rPr>
        <w:t>MIM6 · Είναι τα δεδομένα μας ασφαλή;</w:t>
      </w:r>
    </w:p>
    <w:p>
      <w:pPr>
        <w:spacing w:before="40" w:after="40"/>
      </w:pPr>
      <w:r>
        <w:rPr>
          <w:b w:val="0"/>
          <w:i w:val="0"/>
          <w:color w:val="646B82"/>
          <w:sz w:val="20"/>
        </w:rPr>
        <w:t xml:space="preserve">Ασφάλεια δεδομένων   </w:t>
      </w:r>
      <w:hyperlink r:id="rId17">
        <w:r>
          <w:rPr>
            <w:color w:val="2F3F9E"/>
            <w:u w:val="single"/>
            <w:sz w:val="17.0"/>
          </w:rPr>
          <w:t>mims.oascities.org/securing-data</w:t>
        </w:r>
      </w:hyperlink>
    </w:p>
    <w:p>
      <w:pPr>
        <w:spacing w:before="120" w:after="200"/>
      </w:pPr>
      <w:r>
        <w:rPr>
          <w:b w:val="0"/>
          <w:i w:val="0"/>
          <w:sz w:val="20"/>
        </w:rPr>
        <w:t>Οι έξυπνες πόλεις αποτελούν στόχους. Το MIM6 διατηρεί το πεδίο εφαρμογής σκόπιμα στενό και πρακτικό: κρυπτογράφηση δεδομένων κατά τη μεταφορά, χρήση ανοικτών προτύπων σύνδεσης αντί για ιδιόκτητα, έλεγχος και καταγραφή του ποιος αποκτά πρόσβαση σε τι. Τίποτα από αυτά δεν είναι ασυνήθιστο — όλα πρέπει να περιλαμβάνονται στη σύμβαση.</w:t>
      </w:r>
    </w:p>
    <w:p>
      <w:pPr>
        <w:spacing w:before="40" w:after="20"/>
      </w:pPr>
      <w:r>
        <w:rPr>
          <w:b/>
          <w:i w:val="0"/>
          <w:color w:val="2F3F9E"/>
          <w:sz w:val="22"/>
        </w:rPr>
        <w:t xml:space="preserve">☐  </w:t>
      </w:r>
      <w:r>
        <w:rPr>
          <w:b/>
          <w:i w:val="0"/>
          <w:color w:val="2F3F9E"/>
          <w:sz w:val="20"/>
        </w:rPr>
        <w:t xml:space="preserve">6.1  </w:t>
      </w:r>
      <w:r>
        <w:rPr>
          <w:b/>
          <w:i w:val="0"/>
          <w:sz w:val="20"/>
        </w:rPr>
        <w:t>Κάθε μεταφορά δεδομένων είναι κρυπτογραφημένη (TLS 1.3 ή τρέχουσα βέλτιστη πρακτική).</w:t>
      </w:r>
    </w:p>
    <w:p>
      <w:pPr>
        <w:spacing w:before="40" w:after="140"/>
      </w:pPr>
      <w:r>
        <w:rPr>
          <w:b w:val="0"/>
          <w:i/>
          <w:color w:val="646B82"/>
          <w:sz w:val="18"/>
        </w:rPr>
        <w:t xml:space="preserve">Βασικό μέτρο κυβερνοϋγιεινής (cyber hygiene)· η οδηγία NIS2 το απαιτεί επίσης όπου έχει εφαρμογή σε εσάς.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Η σύνδεση χρηστών και η αυτοματοποιημένη πρόσβαση χρησιμοποιούν ανοικτά πρότυπα — OAuth 2.0 / OpenID Connect — και μπορούν να συνδεθούν με τον υφιστάμενο πάροχο ταυτότητας του δήμου.</w:t>
      </w:r>
    </w:p>
    <w:p>
      <w:pPr>
        <w:spacing w:before="40" w:after="140"/>
      </w:pPr>
      <w:r>
        <w:rPr>
          <w:b w:val="0"/>
          <w:i/>
          <w:color w:val="646B82"/>
          <w:sz w:val="18"/>
        </w:rPr>
        <w:t xml:space="preserve">Ένας λογαριασμός ανά υπάλληλο και όχι ένας ανά προϊόν προμηθευτή· όσοι αποχωρούν χάνουν την πρόσβαση παντού ταυτόχρονα.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Τα δικαιώματα πρόσβασης βασίζονται σε ρόλους, είναι ελέγξιμα και ανακλήσιμα· οι ενέργειες πρόσβασης και διαχείρισης καταγράφονται.</w:t>
      </w:r>
    </w:p>
    <w:p>
      <w:pPr>
        <w:spacing w:before="40" w:after="140"/>
      </w:pPr>
      <w:r>
        <w:rPr>
          <w:b w:val="0"/>
          <w:i/>
          <w:color w:val="646B82"/>
          <w:sz w:val="18"/>
        </w:rPr>
        <w:t xml:space="preserve">Οι έλεγχοι και η απόκριση σε συμβάντα καθίστανται εφικτοί. Η καταγραφή αποτελεί το μέτρο ελέγχου 8.15 του Παραρτήματος A του ISO/IEC 27001:2022, το οποίο το MIM6 περιλαμβάνει στις προϋποθέσεις του.   </w:t>
      </w:r>
      <w:r>
        <w:rPr>
          <w:b w:val="0"/>
          <w:i w:val="0"/>
          <w:color w:val="0B7485"/>
          <w:sz w:val="16"/>
        </w:rPr>
        <w:t>→ MIM6 R1.1, R1.3, 8.15</w:t>
      </w:r>
    </w:p>
    <w:p>
      <w:pPr>
        <w:spacing w:before="40" w:after="0"/>
      </w:pPr>
      <w:r>
        <w:rPr>
          <w:b/>
          <w:i w:val="0"/>
          <w:color w:val="0B7485"/>
          <w:sz w:val="16"/>
        </w:rPr>
        <w:t>ΑΝΉΚΕΙ ΣΤΟΥΣ ΌΡΟΥΣ ΣΥΜΜΕΤΟΧΉΣ, ΌΧΙ ΣΤΙΣ ΤΕΧΝΙΚΈΣ ΠΡΟΔΙΑΓΡΑΦΈΣ</w:t>
      </w:r>
    </w:p>
    <w:p>
      <w:pPr>
        <w:spacing w:before="40" w:after="20"/>
      </w:pPr>
      <w:r>
        <w:rPr>
          <w:b/>
          <w:i w:val="0"/>
          <w:color w:val="2F3F9E"/>
          <w:sz w:val="22"/>
        </w:rPr>
        <w:t xml:space="preserve">☐  </w:t>
      </w:r>
      <w:r>
        <w:rPr>
          <w:b/>
          <w:i w:val="0"/>
          <w:color w:val="2F3F9E"/>
          <w:sz w:val="20"/>
        </w:rPr>
        <w:t xml:space="preserve">6.4  </w:t>
      </w:r>
      <w:r>
        <w:rPr>
          <w:b/>
          <w:i w:val="0"/>
          <w:sz w:val="20"/>
        </w:rPr>
        <w:t>Ο προσφέρων αποδεικνύει συμμόρφωση με το πρότυπο ISO/IEC 27001:2022 (ή ισοδύναμο) για την υπηρεσία που λειτουργεί.</w:t>
      </w:r>
    </w:p>
    <w:p>
      <w:pPr>
        <w:spacing w:before="40" w:after="140"/>
      </w:pPr>
      <w:r>
        <w:rPr>
          <w:b w:val="0"/>
          <w:i/>
          <w:color w:val="646B82"/>
          <w:sz w:val="18"/>
        </w:rPr>
        <w:t xml:space="preserve">Η ασφάλεια είναι διαδικασία, όχι ένα απλό τετραγωνίδιο ελέγχου κατά την παράδοση. Η προδιαγραφή παραπέμπει σε μέτρα ελέγχου του ISO/IEC 27001, όχι σε πιστοποιητικό.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ΓΙΑΤΊ ΈΧΕΙ ΣΗΜΑΣΊΑ</w:t>
            </w:r>
          </w:p>
          <w:p>
            <w:pPr>
              <w:spacing w:before="20" w:after="60"/>
            </w:pPr>
            <w:r>
              <w:rPr>
                <w:b/>
                <w:i w:val="0"/>
                <w:color w:val="2F3F9E"/>
                <w:sz w:val="18"/>
              </w:rPr>
              <w:t xml:space="preserve">•  </w:t>
            </w:r>
            <w:r>
              <w:rPr>
                <w:b w:val="0"/>
                <w:i w:val="0"/>
                <w:sz w:val="18"/>
              </w:rPr>
              <w:t>Μια παραβίαση σε ένα σύστημα δεν εκθέτει κάθε σύστημα.</w:t>
            </w:r>
          </w:p>
          <w:p>
            <w:pPr>
              <w:spacing w:before="20" w:after="60"/>
            </w:pPr>
            <w:r>
              <w:rPr>
                <w:b/>
                <w:i w:val="0"/>
                <w:color w:val="2F3F9E"/>
                <w:sz w:val="18"/>
              </w:rPr>
              <w:t xml:space="preserve">•  </w:t>
            </w:r>
            <w:r>
              <w:rPr>
                <w:b w:val="0"/>
                <w:i w:val="0"/>
                <w:sz w:val="18"/>
              </w:rPr>
              <w:t>Όπου εφαρμόζεται η NIS2, η συμμόρφωση με αυτήν και τους εθνικούς κανόνες κυβερνοασφάλειας γίνεται αισθητά ευκολότερη.</w:t>
            </w:r>
          </w:p>
          <w:p>
            <w:pPr>
              <w:spacing w:before="20" w:after="60"/>
            </w:pPr>
            <w:r>
              <w:rPr>
                <w:b/>
                <w:i w:val="0"/>
                <w:color w:val="2F3F9E"/>
                <w:sz w:val="18"/>
              </w:rPr>
              <w:t xml:space="preserve">•  </w:t>
            </w:r>
            <w:r>
              <w:rPr>
                <w:b w:val="0"/>
                <w:i w:val="0"/>
                <w:sz w:val="18"/>
              </w:rPr>
              <w:t>Μετά από ένα περιστατικό, τα αρχεία καταγραφής δείχνουν τι συνέβη και ποιος ενήργησε.</w:t>
            </w:r>
          </w:p>
        </w:tc>
        <w:tc>
          <w:tcPr>
            <w:tcW w:type="dxa" w:w="4986"/>
            <w:shd w:val="clear" w:fill="FBEEEE"/>
          </w:tcPr>
          <w:p>
            <w:pPr>
              <w:spacing w:before="20" w:after="60"/>
            </w:pPr>
            <w:r>
              <w:rPr>
                <w:b/>
                <w:i w:val="0"/>
                <w:color w:val="A02020"/>
                <w:sz w:val="18"/>
              </w:rPr>
              <w:t>ΕΝΔΕΊΞΕΙΣ ΚΙΝΔΎΝΟΥ</w:t>
            </w:r>
          </w:p>
          <w:p>
            <w:pPr>
              <w:spacing w:before="20" w:after="60"/>
            </w:pPr>
            <w:r>
              <w:rPr>
                <w:b/>
                <w:i w:val="0"/>
                <w:color w:val="A02020"/>
                <w:sz w:val="18"/>
              </w:rPr>
              <w:t xml:space="preserve">•  </w:t>
            </w:r>
            <w:r>
              <w:rPr>
                <w:b w:val="0"/>
                <w:i w:val="0"/>
                <w:sz w:val="18"/>
              </w:rPr>
              <w:t>Μόνο ιδιόκτητη σύνδεση.</w:t>
            </w:r>
          </w:p>
          <w:p>
            <w:pPr>
              <w:spacing w:before="20" w:after="60"/>
            </w:pPr>
            <w:r>
              <w:rPr>
                <w:b/>
                <w:i w:val="0"/>
                <w:color w:val="A02020"/>
                <w:sz w:val="18"/>
              </w:rPr>
              <w:t xml:space="preserve">•  </w:t>
            </w:r>
            <w:r>
              <w:rPr>
                <w:b w:val="0"/>
                <w:i w:val="0"/>
                <w:sz w:val="18"/>
              </w:rPr>
              <w:t>«Αρχεία καταγραφής διαθέσιμα κατόπιν αιτήματος.»</w:t>
            </w:r>
          </w:p>
          <w:p>
            <w:pPr>
              <w:spacing w:before="20" w:after="60"/>
            </w:pPr>
            <w:r>
              <w:rPr>
                <w:b/>
                <w:i w:val="0"/>
                <w:color w:val="A02020"/>
                <w:sz w:val="18"/>
              </w:rPr>
              <w:t xml:space="preserve">•  </w:t>
            </w:r>
            <w:r>
              <w:rPr>
                <w:b w:val="0"/>
                <w:i w:val="0"/>
                <w:sz w:val="18"/>
              </w:rPr>
              <w:t>Κοινόχρηστοι λογαριασμοί διαχειριστή.</w:t>
            </w:r>
          </w:p>
        </w:tc>
      </w:tr>
    </w:tbl>
    <w:p>
      <w:pPr>
        <w:spacing w:before="280" w:after="40"/>
      </w:pPr>
      <w:r>
        <w:rPr>
          <w:b/>
          <w:i w:val="0"/>
          <w:color w:val="2F3F9E"/>
          <w:sz w:val="26"/>
        </w:rPr>
        <w:t>Τι αναφέρει η προδιαγραφή</w:t>
      </w:r>
    </w:p>
    <w:p>
      <w:pPr>
        <w:spacing w:before="40" w:after="120"/>
      </w:pPr>
      <w:r>
        <w:rPr>
          <w:b w:val="0"/>
          <w:i w:val="0"/>
          <w:color w:val="646B82"/>
          <w:sz w:val="18"/>
        </w:rPr>
        <w:t>Κάθε απαίτηση αυτού του MIM, αυτολεξεί από τα MIMs Plus 9.0: Η προδιαγραφή υπάρχει μόνο στα αγγλικά: το κείμενο στην ελληνική γλώσσα αποτελεί ανεπίσημη μετάφραση από τον συντάκτη αυτού του φυλλαδίου· το αγγλικό πρωτότυπο που ακολουθεί είναι δεσμευτικό.</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Τα δεδομένα είναι προσβάσιμα μόνο σε χρήστες που πρέπει να έχουν πρόσβαση σε αυτά</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Κανόνες για τον έλεγχο της φυσικής και λογικής πρόσβασης σε πληροφορίες και άλλα σχετικά περιουσιακά στοιχεία ΥΠΟΧΡΕΟΥΝΤΑΙ να θεσπίζονται και να εφαρμόζονται βάσει επιχειρησιακών απαιτήσεων και απαιτήσεων ασφάλειας πληροφοριών. (ISO 27001 5.15 Έλεγχος πρόσβασης)</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Η κατανομή και διαχείριση πληροφοριών ελέγχου ταυτότητας ΥΠΟΧΡΕΟΥΤΑΙ να ελέγχεται από μια διαδικασία διαχείρισης, συμπεριλαμβανομένης της παροχής οδηγιών στο προσωπικό σχετικά με τον κατάλληλο χειρισμό των πληροφοριών ελέγχου ταυτότητας. (ISO 27001 5.17: Πληροφορίες ελέγχου ταυτότητας)</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Τα δικαιώματα πρόσβασης σε πληροφορίες και άλλα σχετικά περιουσιακά στοιχεία ΥΠΟΧΡΕΟΥΝΤΑΙ να εκχωρούνται, να επανεξετάζονται, να τροποποιούνται και να αφαιρούνται σύμφωνα με την ειδική πολιτική και τους κανόνες του οργανισμού για τον έλεγχο πρόσβασης. (ISO 27001 5.18: Δικαιώματα πρόσβασης)</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Τα δεδομένα στα οποία έχουν πρόσβαση οι χρήστες δεν έχουν αλλοιωθεί</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Κανόνες για την αποτελεσματική χρήση της κρυπτογραφίας, συμπεριλαμβανομένης της διαχείρισης κρυπτογραφικών κλειδιών, ΥΠΟΧΡΕΟΥΝΤΑΙ να ορίζονται και να εφαρμόζονται. (ISO 27001 8.24 Χρήση κρυπτογραφίας)</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Τα δεδομένα στα οποία αποκτούν πρόσβαση οι χρήστες προέρχονται από επαληθευμένη πηγή</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Ασφαλείς τεχνολογίες και διαδικασίες ελέγχου ταυτότητας πρέπει να εφαρμόζονται βάσει των περιορισμών πρόσβασης σε πληροφορίες και της ειδικής πολιτικής για τον έλεγχο πρόσβασης. (ISO 27001 8.5 Ασφαλής έλεγχος ταυτότητας)</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Υποψήφιος μηχανισμός</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Το Πρωτόκολλο Transport Layer Security (TLS), Έκδοση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Το Πλαίσιο Εξουσιοδότησης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Επίπεδο ταυτότητας για έλεγχο ταυτότητας στο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για Έκδοση και Παρουσίαση Επαληθεύσιμων Διαπιστευτηρίων</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Προαπαιτούμενα και Μετα-απαιτούμενα (βάσει ISO 27001 Παράρτημα A): το μέτρο στο οποίο αναφέρεται αυτό το φυλλάδιο</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Καταγραφή συμβάντων. Αρχεία καταγραφής που καταγράφουν δραστηριότητες, εξαιρέσεις, σφάλματα και άλλα σχετικά συμβάντα πρέπει να παράγονται, να αποθηκεύονται, να προστατεύονται και να αναλύονται.</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Πλήρης προδιαγραφή: </w:t>
      </w:r>
      <w:hyperlink r:id="rId17">
        <w:r>
          <w:rPr>
            <w:color w:val="2F3F9E"/>
            <w:u w:val="single"/>
            <w:sz w:val="18"/>
          </w:rPr>
          <w:t>https://mims.oascities.org/securing-data</w:t>
        </w:r>
      </w:hyperlink>
    </w:p>
    <w:p>
      <w:r>
        <w:br w:type="page"/>
      </w:r>
    </w:p>
    <w:p>
      <w:pPr>
        <w:spacing w:before="120" w:after="40"/>
      </w:pPr>
      <w:r>
        <w:rPr>
          <w:b/>
          <w:i w:val="0"/>
          <w:color w:val="2F3F9E"/>
          <w:sz w:val="36"/>
        </w:rPr>
        <w:t>MIM7 · Λειτουργεί σε χάρτη;</w:t>
      </w:r>
    </w:p>
    <w:p>
      <w:pPr>
        <w:spacing w:before="40" w:after="40"/>
      </w:pPr>
      <w:r>
        <w:rPr>
          <w:b w:val="0"/>
          <w:i w:val="0"/>
          <w:color w:val="646B82"/>
          <w:sz w:val="20"/>
        </w:rPr>
        <w:t xml:space="preserve">Γεωχωρικά δεδομένα   </w:t>
      </w:r>
      <w:hyperlink r:id="rId18">
        <w:r>
          <w:rPr>
            <w:color w:val="2F3F9E"/>
            <w:u w:val="single"/>
            <w:sz w:val="17.0"/>
          </w:rPr>
          <w:t>mims.oascities.org/geospatial-data</w:t>
        </w:r>
      </w:hyperlink>
    </w:p>
    <w:p>
      <w:pPr>
        <w:spacing w:before="120" w:after="200"/>
      </w:pPr>
      <w:r>
        <w:rPr>
          <w:b w:val="0"/>
          <w:i w:val="0"/>
          <w:sz w:val="20"/>
        </w:rPr>
        <w:t>Σχεδόν οτιδήποτε κατέχει ένας δήμος έχει γεωγραφική θέση. Το MIM7 διασφαλίζει ότι η θέση δεν είναι ένα απλό στιγμιότυπο οθόνης: τα χωρικά δεδομένα ρέουν μέσω τυποποιημένων διεπαφών OGC, σε ανοικτούς μορφοτύπους, με πάντα δηλωμένο το σύστημα συντεταγμένων — ώστε κάθε επίπεδο χάρτη που αγοράζετε να ευθυγραμμίζεται με κάθε επίπεδο που ήδη διαθέτετε.</w:t>
      </w:r>
    </w:p>
    <w:p>
      <w:pPr>
        <w:spacing w:before="40" w:after="20"/>
      </w:pPr>
      <w:r>
        <w:rPr>
          <w:b/>
          <w:i w:val="0"/>
          <w:color w:val="2F3F9E"/>
          <w:sz w:val="22"/>
        </w:rPr>
        <w:t xml:space="preserve">☐  </w:t>
      </w:r>
      <w:r>
        <w:rPr>
          <w:b/>
          <w:i w:val="0"/>
          <w:color w:val="2F3F9E"/>
          <w:sz w:val="20"/>
        </w:rPr>
        <w:t xml:space="preserve">7.1  </w:t>
      </w:r>
      <w:r>
        <w:rPr>
          <w:b/>
          <w:i w:val="0"/>
          <w:sz w:val="20"/>
        </w:rPr>
        <w:t>Τα γεωχωρικά δεδομένα εκτίθενται μέσω διεπαφών βασισμένων σε πρότυπα (OGC API Features, SensorThings· το WFS είναι αποδεκτό για παλαιού τύπου συστήματα).</w:t>
      </w:r>
    </w:p>
    <w:p>
      <w:pPr>
        <w:spacing w:before="40" w:after="140"/>
      </w:pPr>
      <w:r>
        <w:rPr>
          <w:b w:val="0"/>
          <w:i/>
          <w:color w:val="646B82"/>
          <w:sz w:val="18"/>
        </w:rPr>
        <w:t xml:space="preserve">Κάθε εργαλείο GIS της αγοράς μπορεί να τα διαβάσει άμεσα.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Τα γεωχωρικά δεδομένα κωδικοποιούνται σε ανοικτούς μορφοτύπους (GeoJSON, CityJSON· GML/CityGML όπου απαιτείται).</w:t>
      </w:r>
    </w:p>
    <w:p>
      <w:pPr>
        <w:spacing w:before="40" w:after="140"/>
      </w:pPr>
      <w:r>
        <w:rPr>
          <w:b w:val="0"/>
          <w:i/>
          <w:color w:val="646B82"/>
          <w:sz w:val="18"/>
        </w:rPr>
        <w:t xml:space="preserve">Χωρίς άδειες χρήσης μετατροπέων, χωρίς αδιέξοδα.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Το σύστημα αναφοράς συντεταγμένων δηλώνεται πάντοτε (κωδικός EPSG) και τα δεδομένα μπορούν να μετασχηματιστούν σε κοινό CRS.</w:t>
      </w:r>
    </w:p>
    <w:p>
      <w:pPr>
        <w:spacing w:before="40" w:after="140"/>
      </w:pPr>
      <w:r>
        <w:rPr>
          <w:b w:val="0"/>
          <w:i/>
          <w:color w:val="646B82"/>
          <w:sz w:val="18"/>
        </w:rPr>
        <w:t xml:space="preserve">Επίπεδα από διαφορετικές πηγές ευθυγραμμίζονται πραγματικά στον χάρτη.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Τα χωρικά στοιχεία φέρουν τα ίδια μόνιμα αναγνωριστικά όπως στο MIM1.</w:t>
      </w:r>
    </w:p>
    <w:p>
      <w:pPr>
        <w:spacing w:before="40" w:after="140"/>
      </w:pPr>
      <w:r>
        <w:rPr>
          <w:b w:val="0"/>
          <w:i/>
          <w:color w:val="646B82"/>
          <w:sz w:val="18"/>
        </w:rPr>
        <w:t xml:space="preserve">Το σημείο στον χάρτη και η εγγραφή στο μητρώο είναι το ίδιο πράγμα.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ΓΙΑΤΊ ΈΧΕΙ ΣΗΜΑΣΊΑ</w:t>
            </w:r>
          </w:p>
          <w:p>
            <w:pPr>
              <w:spacing w:before="20" w:after="60"/>
            </w:pPr>
            <w:r>
              <w:rPr>
                <w:b/>
                <w:i w:val="0"/>
                <w:color w:val="2F3F9E"/>
                <w:sz w:val="18"/>
              </w:rPr>
              <w:t xml:space="preserve">•  </w:t>
            </w:r>
            <w:r>
              <w:rPr>
                <w:b w:val="0"/>
                <w:i w:val="0"/>
                <w:sz w:val="18"/>
              </w:rPr>
              <w:t>Ένας χάρτης της πόλης αντί για δέκα εφαρμογές προβολής προμηθευτών.</w:t>
            </w:r>
          </w:p>
          <w:p>
            <w:pPr>
              <w:spacing w:before="20" w:after="60"/>
            </w:pPr>
            <w:r>
              <w:rPr>
                <w:b/>
                <w:i w:val="0"/>
                <w:color w:val="2F3F9E"/>
                <w:sz w:val="18"/>
              </w:rPr>
              <w:t xml:space="preserve">•  </w:t>
            </w:r>
            <w:r>
              <w:rPr>
                <w:b w:val="0"/>
                <w:i w:val="0"/>
                <w:sz w:val="18"/>
              </w:rPr>
              <w:t>Οι υποχρεώσεις για το INSPIRE και την εθνική γεωπύλη γίνονται ευκολότερες, όχι δυσκολότερες.</w:t>
            </w:r>
          </w:p>
          <w:p>
            <w:pPr>
              <w:spacing w:before="20" w:after="60"/>
            </w:pPr>
            <w:r>
              <w:rPr>
                <w:b/>
                <w:i w:val="0"/>
                <w:color w:val="2F3F9E"/>
                <w:sz w:val="18"/>
              </w:rPr>
              <w:t xml:space="preserve">•  </w:t>
            </w:r>
            <w:r>
              <w:rPr>
                <w:b w:val="0"/>
                <w:i w:val="0"/>
                <w:sz w:val="18"/>
              </w:rPr>
              <w:t>Δεδομένα 3D και BIM μπορούν να ενταχθούν στην ίδια εικόνα αργότερα.</w:t>
            </w:r>
          </w:p>
        </w:tc>
        <w:tc>
          <w:tcPr>
            <w:tcW w:type="dxa" w:w="4986"/>
            <w:shd w:val="clear" w:fill="FBEEEE"/>
          </w:tcPr>
          <w:p>
            <w:pPr>
              <w:spacing w:before="20" w:after="60"/>
            </w:pPr>
            <w:r>
              <w:rPr>
                <w:b/>
                <w:i w:val="0"/>
                <w:color w:val="A02020"/>
                <w:sz w:val="18"/>
              </w:rPr>
              <w:t>ΕΝΔΕΊΞΕΙΣ ΚΙΝΔΎΝΟΥ</w:t>
            </w:r>
          </w:p>
          <w:p>
            <w:pPr>
              <w:spacing w:before="20" w:after="60"/>
            </w:pPr>
            <w:r>
              <w:rPr>
                <w:b/>
                <w:i w:val="0"/>
                <w:color w:val="A02020"/>
                <w:sz w:val="18"/>
              </w:rPr>
              <w:t xml:space="preserve">•  </w:t>
            </w:r>
            <w:r>
              <w:rPr>
                <w:b w:val="0"/>
                <w:i w:val="0"/>
                <w:sz w:val="18"/>
              </w:rPr>
              <w:t>Τα δεδομένα χάρτη ζουν μόνο μέσα στην εφαρμογή προβολής του προμηθευτή.</w:t>
            </w:r>
          </w:p>
          <w:p>
            <w:pPr>
              <w:spacing w:before="20" w:after="60"/>
            </w:pPr>
            <w:r>
              <w:rPr>
                <w:b/>
                <w:i w:val="0"/>
                <w:color w:val="A02020"/>
                <w:sz w:val="18"/>
              </w:rPr>
              <w:t xml:space="preserve">•  </w:t>
            </w:r>
            <w:r>
              <w:rPr>
                <w:b w:val="0"/>
                <w:i w:val="0"/>
                <w:sz w:val="18"/>
              </w:rPr>
              <w:t>«Εξαγωγή ως PDF/στιγμιότυπο οθόνης.»</w:t>
            </w:r>
          </w:p>
        </w:tc>
      </w:tr>
    </w:tbl>
    <w:p>
      <w:pPr>
        <w:spacing w:before="280" w:after="40"/>
      </w:pPr>
      <w:r>
        <w:rPr>
          <w:b/>
          <w:i w:val="0"/>
          <w:color w:val="2F3F9E"/>
          <w:sz w:val="26"/>
        </w:rPr>
        <w:t>Τι αναφέρει η προδιαγραφή</w:t>
      </w:r>
    </w:p>
    <w:p>
      <w:pPr>
        <w:spacing w:before="40" w:after="120"/>
      </w:pPr>
      <w:r>
        <w:rPr>
          <w:b w:val="0"/>
          <w:i w:val="0"/>
          <w:color w:val="646B82"/>
          <w:sz w:val="18"/>
        </w:rPr>
        <w:t>Κάθε απαίτηση αυτού του MIM, αυτολεξεί από τα MIMs Plus 9.0: Η προδιαγραφή υπάρχει μόνο στα αγγλικά: το κείμενο στην ελληνική γλώσσα αποτελεί ανεπίσημη μετάφραση από τον συντάκτη αυτού του φυλλαδίου· το αγγλικό πρωτότυπο που ακολουθεί είναι δεσμευτικό.</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Πόλεις και κοινότητες μεταφέρουν εύκολα γεωχωρικά δεδομένα μεταξύ εσωτερικών και εξωτερικών συστημάτων ΤΠΕ</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Τα γεωχωρικά δεδομένα πρέπει να εκτίθενται μέσω μιας διεπαφής διαδικτυακής υπηρεσίας βασισμένης σε πρότυπα.</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Πόλεις και κοινότητες ενοποιούν γεωχωρικά δεδομένα 2D/3D από διάφορες πηγές και τα κοινοποιούν διαλειτουργικά</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Τα γεωχωρικά δεδομένα πρέπει να κωδικοποιούνται με χρήση ανοικτών προτύπων. Συνιστάται η χρήση σχετικών προτύπων από το OGC και το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Πόλεις και κοινότητες ενοποιούν γεωχωρικά δεδομένα με άλλα δεδομένα που παρέχουν πλαίσιο</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Όλα τα σύνολα δεδομένων που χρησιμοποιούνται για την παροχή περαιτέρω πληροφοριών σχετικά με το πλαίσιο που καλύπτεται από γεωχωρικά δεδομένα πρέπει να συμμορφώνονται με τα MIM1 και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Συνεπής και διαρκής τρόπος περιγραφής μεμονωμένων εμφανίσεων όλων των στοιχείων στα γεωχωρικά δεδομένα</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Μοναδικά και διαρκή αναγνωριστικά πρέπει να χρησιμοποιούνται για τον προσδιορισμό συγκεκριμένων εμφανίσεων οποιασδήποτε οντότητας χρησιμοποιείται σε σύνολα δεδομένων. (Βλ. MIM1: Διασύνδεση Δεδομένων.)</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Τα Συστήματα Αναφοράς Συντεταγμένων (CRS) μετασχηματίζονται εύκολα σε ένα κοινό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Τα Συστήματα Συντεταγμένων Αναφοράς (CRS) πρέπει να συμμορφώνονται με πρότυπα και πρέπει να παρέχονται πληροφορίες σχετικά με το ποιο πρότυπο (π.χ. EPSG:4326, EPSG:3857) χρησιμοποιείται. Αυτό περιλαμβάνει τον αριθμό EPSG ή τον αριθμό WGS, μαζί με πληροφορίες για οποιαδήποτε παραλλαγή που βασίζεται σε εθνικά συστήματα, όπως το λετονικό LKS-92, ώστε τα δεδομένα να μπορούν να μετασχηματιστούν σε ένα κοινό CRS. (Σημείωση: Εντός της ΕΕ, για τα γεωχωρικά δεδομένα απαιτείται η χρήση μεταδεδομένων συμβατών με την οδηγία INSPIRE, συμπεριλαμβανομένων των μεταδεδομένων που απαιτούνται για την περιγραφή των πληροφοριών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Πλήρης προδιαγραφή: </w:t>
      </w:r>
      <w:hyperlink r:id="rId18">
        <w:r>
          <w:rPr>
            <w:color w:val="2F3F9E"/>
            <w:u w:val="single"/>
            <w:sz w:val="18"/>
          </w:rPr>
          <w:t>https://mims.oascities.org/geospatial-data</w:t>
        </w:r>
      </w:hyperlink>
    </w:p>
    <w:p>
      <w:r>
        <w:br w:type="page"/>
      </w:r>
    </w:p>
    <w:p>
      <w:pPr>
        <w:spacing w:before="120" w:after="40"/>
      </w:pPr>
      <w:r>
        <w:rPr>
          <w:b/>
          <w:i w:val="0"/>
          <w:color w:val="2F3F9E"/>
          <w:sz w:val="36"/>
        </w:rPr>
        <w:t>MIM8 · Μπορεί το ψηφιακό μας δίδυμο να αναπτυχθεί;</w:t>
      </w:r>
    </w:p>
    <w:p>
      <w:pPr>
        <w:spacing w:before="40" w:after="40"/>
      </w:pPr>
      <w:r>
        <w:rPr>
          <w:b w:val="0"/>
          <w:i w:val="0"/>
          <w:color w:val="646B82"/>
          <w:sz w:val="20"/>
        </w:rPr>
        <w:t xml:space="preserve">Τοπικά ψηφιακά δίδυμα   </w:t>
      </w:r>
      <w:hyperlink r:id="rId19">
        <w:r>
          <w:rPr>
            <w:color w:val="2F3F9E"/>
            <w:u w:val="single"/>
            <w:sz w:val="17.0"/>
          </w:rPr>
          <w:t>mims.oascities.org/local-digital-twins</w:t>
        </w:r>
      </w:hyperlink>
    </w:p>
    <w:p>
      <w:pPr>
        <w:spacing w:before="120" w:after="200"/>
      </w:pPr>
      <w:r>
        <w:rPr>
          <w:b w:val="0"/>
          <w:i w:val="0"/>
          <w:sz w:val="20"/>
        </w:rPr>
        <w:t>Ένα ψηφιακό δίδυμο αποτελεί μακροπρόθεσμη επένδυση: δεδομένα, τρισδιάστατα μοντέλα, προσομοιώσεις, αποφάσεις. Το MIM8 προστατεύει αυτή την επένδυση — τα δεδομένα και τα μοντέλα του διδύμου παραμένουν προσβάσιμα και τεκμηριωμένα, τα αποτελέσματα μπορούν να αναπαραχθούν και τα συστατικά στοιχεία από ένα έργο μπορούν να εξυπηρετήσουν το επόμενο. Χρησιμοποιήστε αυτή τη σελίδα κατά την προμήθεια πλατφορμών διδύμων, μοντέλων προσομοίωσης ή εργαλείων 3D πόλεων.</w:t>
      </w:r>
    </w:p>
    <w:p>
      <w:pPr>
        <w:spacing w:before="40" w:after="20"/>
      </w:pPr>
      <w:r>
        <w:rPr>
          <w:b/>
          <w:i w:val="0"/>
          <w:color w:val="2F3F9E"/>
          <w:sz w:val="22"/>
        </w:rPr>
        <w:t xml:space="preserve">☐  </w:t>
      </w:r>
      <w:r>
        <w:rPr>
          <w:b/>
          <w:i w:val="0"/>
          <w:color w:val="2F3F9E"/>
          <w:sz w:val="20"/>
        </w:rPr>
        <w:t xml:space="preserve">8.1  </w:t>
      </w:r>
      <w:r>
        <w:rPr>
          <w:b/>
          <w:i w:val="0"/>
          <w:sz w:val="20"/>
        </w:rPr>
        <w:t>Τα σύνολα δεδομένων, οι είσοδοι μοντέλων και οι έξοδοι προσομοίωσης είναι προσβάσιμα μέσω API (σύμφωνα με το MIM0) και δεν παραμένουν παγιδευμένα στο δίδυμο.</w:t>
      </w:r>
    </w:p>
    <w:p>
      <w:pPr>
        <w:spacing w:before="40" w:after="140"/>
      </w:pPr>
      <w:r>
        <w:rPr>
          <w:b w:val="0"/>
          <w:i/>
          <w:color w:val="646B82"/>
          <w:sz w:val="18"/>
        </w:rPr>
        <w:t xml:space="preserve">Τα αποτελέσματα τροφοδοτούν αναφορές, πίνακες οργάνων και το επόμενο έργο.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Τα μοντέλα είναι τεκμηριωμένα (μέθοδος, παράμετροι, είσοδοι/έξοδοι) και προσπελάσιμα μέσω τεκμηριωμένης διεπαφής.</w:t>
      </w:r>
    </w:p>
    <w:p>
      <w:pPr>
        <w:spacing w:before="40" w:after="140"/>
      </w:pPr>
      <w:r>
        <w:rPr>
          <w:b w:val="0"/>
          <w:i/>
          <w:color w:val="646B82"/>
          <w:sz w:val="18"/>
        </w:rPr>
        <w:t xml:space="preserve">Ένα μοντέλο πλημμύρας που αγοράστηκε μία φορά μπορεί να επαναχρησιμοποιηθεί από διάφορες υπηρεσίες — και από άλλες πόλεις.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Τα αποτελέσματα χρησιμοποιούν τυποποιημένους μορφοτύπους (GeoJSON, CityJSON, 3D Tiles, NetCDF…) αναγνώσιμους από εργαλεία τρίτων.</w:t>
      </w:r>
    </w:p>
    <w:p>
      <w:pPr>
        <w:spacing w:before="40" w:after="140"/>
      </w:pPr>
      <w:r>
        <w:rPr>
          <w:b w:val="0"/>
          <w:i/>
          <w:color w:val="646B82"/>
          <w:sz w:val="18"/>
        </w:rPr>
        <w:t xml:space="preserve">Η οπτικοποίηση και η ανάλυση παραμένουν ανταγωνιστικές αγορές.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Οι ροές εργασίας καταγράφουν την προέλευση: ποια έκδοση δεδομένων, ποιο μοντέλο και ποιες παράμετροι παρήγαγαν ένα αποτέλεσμα.</w:t>
      </w:r>
    </w:p>
    <w:p>
      <w:pPr>
        <w:spacing w:before="40" w:after="140"/>
      </w:pPr>
      <w:r>
        <w:rPr>
          <w:b w:val="0"/>
          <w:i/>
          <w:color w:val="646B82"/>
          <w:sz w:val="18"/>
        </w:rPr>
        <w:t xml:space="preserve">Οι αποφάσεις που βασίζονται στο δίδυμο μπορούν να εξηγηθούν και να τεκμηριωθούν εκ των υστέρων.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ΓΙΑΤΊ ΈΧΕΙ ΣΗΜΑΣΊΑ</w:t>
            </w:r>
          </w:p>
          <w:p>
            <w:pPr>
              <w:spacing w:before="20" w:after="60"/>
            </w:pPr>
            <w:r>
              <w:rPr>
                <w:b/>
                <w:i w:val="0"/>
                <w:color w:val="2F3F9E"/>
                <w:sz w:val="18"/>
              </w:rPr>
              <w:t xml:space="preserve">•  </w:t>
            </w:r>
            <w:r>
              <w:rPr>
                <w:b w:val="0"/>
                <w:i w:val="0"/>
                <w:sz w:val="18"/>
              </w:rPr>
              <w:t>Το δίδυμο επιβιώνει από κάθε μεμονωμένο προμηθευτή ή προϋπολογισμό έργου.</w:t>
            </w:r>
          </w:p>
          <w:p>
            <w:pPr>
              <w:spacing w:before="20" w:after="60"/>
            </w:pPr>
            <w:r>
              <w:rPr>
                <w:b/>
                <w:i w:val="0"/>
                <w:color w:val="2F3F9E"/>
                <w:sz w:val="18"/>
              </w:rPr>
              <w:t xml:space="preserve">•  </w:t>
            </w:r>
            <w:r>
              <w:rPr>
                <w:b w:val="0"/>
                <w:i w:val="0"/>
                <w:sz w:val="18"/>
              </w:rPr>
              <w:t>Οι προσομοιώσεις μπορούν να ελεγχθούν, να επαναληφθούν και να δικαιολογηθούν κατά τη λήψη δημοτικών αποφάσεων.</w:t>
            </w:r>
          </w:p>
          <w:p>
            <w:pPr>
              <w:spacing w:before="20" w:after="60"/>
            </w:pPr>
            <w:r>
              <w:rPr>
                <w:b/>
                <w:i w:val="0"/>
                <w:color w:val="2F3F9E"/>
                <w:sz w:val="18"/>
              </w:rPr>
              <w:t xml:space="preserve">•  </w:t>
            </w:r>
            <w:r>
              <w:rPr>
                <w:b w:val="0"/>
                <w:i w:val="0"/>
                <w:sz w:val="18"/>
              </w:rPr>
              <w:t>Μοντέλα και συστατικά στοιχεία μπορούν να διαμοιραστούν μεταξύ πόλεων.</w:t>
            </w:r>
          </w:p>
        </w:tc>
        <w:tc>
          <w:tcPr>
            <w:tcW w:type="dxa" w:w="4986"/>
            <w:shd w:val="clear" w:fill="FBEEEE"/>
          </w:tcPr>
          <w:p>
            <w:pPr>
              <w:spacing w:before="20" w:after="60"/>
            </w:pPr>
            <w:r>
              <w:rPr>
                <w:b/>
                <w:i w:val="0"/>
                <w:color w:val="A02020"/>
                <w:sz w:val="18"/>
              </w:rPr>
              <w:t>ΕΝΔΕΊΞΕΙΣ ΚΙΝΔΎΝΟΥ</w:t>
            </w:r>
          </w:p>
          <w:p>
            <w:pPr>
              <w:spacing w:before="20" w:after="60"/>
            </w:pPr>
            <w:r>
              <w:rPr>
                <w:b/>
                <w:i w:val="0"/>
                <w:color w:val="A02020"/>
                <w:sz w:val="18"/>
              </w:rPr>
              <w:t xml:space="preserve">•  </w:t>
            </w:r>
            <w:r>
              <w:rPr>
                <w:b w:val="0"/>
                <w:i w:val="0"/>
                <w:sz w:val="18"/>
              </w:rPr>
              <w:t>Αποτελέσματα προσομοίωσης ορατά μόνο στην πύλη του προμηθευτή.</w:t>
            </w:r>
          </w:p>
          <w:p>
            <w:pPr>
              <w:spacing w:before="20" w:after="60"/>
            </w:pPr>
            <w:r>
              <w:rPr>
                <w:b/>
                <w:i w:val="0"/>
                <w:color w:val="A02020"/>
                <w:sz w:val="18"/>
              </w:rPr>
              <w:t xml:space="preserve">•  </w:t>
            </w:r>
            <w:r>
              <w:rPr>
                <w:b w:val="0"/>
                <w:i w:val="0"/>
                <w:sz w:val="18"/>
              </w:rPr>
              <w:t>Μοντέλα ως ερμητικά κλειστά «μαύρα κουτιά» χωρίς μεταδεδομένα.</w:t>
            </w:r>
          </w:p>
        </w:tc>
      </w:tr>
    </w:tbl>
    <w:p>
      <w:pPr>
        <w:spacing w:before="280" w:after="40"/>
      </w:pPr>
      <w:r>
        <w:rPr>
          <w:b/>
          <w:i w:val="0"/>
          <w:color w:val="2F3F9E"/>
          <w:sz w:val="26"/>
        </w:rPr>
        <w:t>Τι αναφέρει η προδιαγραφή</w:t>
      </w:r>
    </w:p>
    <w:p>
      <w:pPr>
        <w:spacing w:before="40" w:after="120"/>
      </w:pPr>
      <w:r>
        <w:rPr>
          <w:b w:val="0"/>
          <w:i w:val="0"/>
          <w:color w:val="646B82"/>
          <w:sz w:val="18"/>
        </w:rPr>
        <w:t>Κάθε απαίτηση αυτού του MIM, αυτολεξεί από τα MIMs Plus 9.0: Η προδιαγραφή υπάρχει μόνο στα αγγλικά: το κείμενο στην ελληνική γλώσσα αποτελεί ανεπίσημη μετάφραση από τον συντάκτη αυτού του φυλλαδίου· το αγγλικό πρωτότυπο που ακολουθεί είναι δεσμευτικό.</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Παροχή πρόσβασης σε σύνολα δεδομένων του LDT, συμπεριλαμβανομένων στατικών, πραγματικού χρόνου και προσομοίωσης</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Το LDT πρέπει να παρέχει πρόσβαση στα αποτελέσματα προσομοιώσεων και στα δεδομένα εισόδου υπολογιστικών μοντέλων, όπου αυτά απαιτούνται ως μέρος των ροών εργασίας του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Το LDT πρέπει να διακρίνει με σαφήνεια μεταξύ ανεπεξέργαστων δεδομένων πηγής, μετασχηματισμένων δεδομένων έτοιμων για ροή εργασίας, εισόδων μοντέλου και εξόδων μοντέλου.</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Ανταλλαγή δεδομένων με εξωτερικά συστήματα και άλλα LDT μέσω διαλειτουργικών διεπαφών</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Αυτή η ικανότητα βασίζεται στο MIM3 (Ανταλλαγή Δεδομένων) για την ανταλλαγή δεδομένων.</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Επαναχρησιμοποίηση ντετερμινιστικών μοντέλων ή μοντέλων ΤΝ σε διαφορετικούς τομείς, κοινότητες και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Το μοντέλο πρέπει να παρέχει τυποποιημένα μεταδεδομένα μοντέλου, συμπεριλαμβανομένης περιγραφής των μεθόδων και παραμέτρων του, καθώς και παραμέτρων δεδομένων (είτε κατά τιμή είτε κατ' αναφορά). Για τον σκοπό αυτό πρέπει να χρησιμοποιούνται κοινά πρότυπα μεταδεδομένων.</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Το μοντέλο πρέπει να διαθέτει ή να είναι προσπελάσιμο μέσω τεκμηριωμένης διεπαφής κλήσης, κατά προτίμηση χρησιμοποιώντας ένα γνωστό τυποποιημένο API. Το σύνολο δεδομένων που αποτελεί το αποτέλεσμα του μοντέλου πρέπει να περιγράφεται (σε επίπεδο δεδομένων).</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Η αξιόπιστη και ηθική χρήση καινοτόμων μεθόδων (LLM, πρακτορική ΤΝ κ.λπ.) πρέπει να διασφαλίζεται. Η μεροληψία πρέπει να ελαχιστοποιείται κατά περίπτωση. Οι μέθοδοι που χρησιμοποιούνται για την εξασφάλιση αυτού πρέπει να περιγράφονται.</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Το μοντέλο πρέπει να είναι σε θέση να αποκτά πρόσβαση σε δεδομένα εκ μέρους του τελικού χρήστη ή οργανισμού. Βλ.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Για τα δεδομένα που θα χρησιμοποιηθούν σε μοντέλα ΤΝ, η προέλευση και η εμπιστοσύνη πρέπει να διασφαλίζονται. Σε ορισμένες περιπτώσεις, μια έγκυρη πηγή, όπως μια κρατική υπηρεσία, πρέπει να αναφέρεται.</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Συντονισμός και διαχείριση δεδομένων, μοντέλων και ροών επεξεργασίας εντός ενός LDT και μεταξύ 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Το LDT υποστηρίζει ροές εργασίας που συνδέουν πηγές δεδομένων, μετασχηματισμούς δεδομένων, εκτέλεση μοντέλων, διαδικασίες προσομοίωσης και αποτελέσματα.</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Το LDT συνδέει διαδοχικά τα βήματα της ροής εργασίας, όπου η έξοδος ενός βήματος μπορεί να χρησιμοποιηθεί ως είσοδος για ένα άλλο.</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Το LDT παρακολουθεί την κατάσταση εκτέλεσης της ροής εργασίας, συμπεριλαμβανομένων ολοκληρωμένων, αποτυχημένων και διακοπεισών διαδικασιών.</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Το LDT καταγράφει την προέλευση της ροής εργασίας, συμπεριλαμβανομένων των συνόλων δεδομένων που χρησιμοποιήθηκαν (συμπεριλαμβανομένης της έκδοσης και της χρονοσήμανσης), των μοντέλων που εκτελέστηκαν, των παραμέτρων που επιλέχθηκαν και των αποτελεσμάτων που παρήχθησαν.</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Παροχή πολλαπλών οπτικοποιήσεων δεδομένων και αποτελεσμάτων (π.χ. 2D, 3D, πίνακες εργαλείων) για αλληλεπίδραση</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Το LDT παρέχει μεταδεδομένα που εξηγούν τι οπτικοποιείται, συμπεριλαμβανομένης χρονοσήμανσης, χωρικού εύρους, πηγής δεδομένων και παραδοχών σεναρίων και παραλλαγών, κατά περίπτωση.</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Το LDT υποστηρίζει διαφορετικούς τύπους διαδραστικής οπτικοποίησης, όπως χάρτες 2D, σκηνές 3D, πίνακες εργαλείων, αναφορές ή δημόσιες προβολές.</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Διασφάλιση συνεπούς ερμηνείας των ανταλλασσόμενων δεδομένων μέσω κοινής σημασιολογίας και σαφούς προέλευσης</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Το LDT πρέπει να τεκμηριώνει ανεπίλυτα σημασιολογικά κενά, υποθέσεις ή αντιστοιχίσεις που μπορεί να επηρεάσουν την ερμηνεία, την επαναχρησιμοποίηση ή τη σύγκριση αποτελεσμάτων.</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Μηχανισμοί (υπό ενεργό ανάπτυξη)</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Πρόσβαση σε Πόρους LDT βάσει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Τυποποιημένοι Μορφότυποι Δεδομένων και Αποτελεσμάτων</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Μοντέλο ως Υπηρεσία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Ενορχήστρωση Ροών Εργασίας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Πρόσβαση σε Αποτελέσματα και Οπτικοποιήσεις Πολλαπλών Προβολών</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Πλήρης προδιαγραφή: </w:t>
      </w:r>
      <w:hyperlink r:id="rId19">
        <w:r>
          <w:rPr>
            <w:color w:val="2F3F9E"/>
            <w:u w:val="single"/>
            <w:sz w:val="18"/>
          </w:rPr>
          <w:t>https://mims.oascities.org/local-digital-twins</w:t>
        </w:r>
      </w:hyperlink>
    </w:p>
    <w:p>
      <w:r>
        <w:br w:type="page"/>
      </w:r>
    </w:p>
    <w:p>
      <w:pPr>
        <w:spacing w:before="120" w:after="40"/>
      </w:pPr>
      <w:r>
        <w:rPr>
          <w:b/>
          <w:i w:val="0"/>
          <w:color w:val="2F3F9E"/>
          <w:sz w:val="36"/>
        </w:rPr>
        <w:t>Οριζόντιες ρήτρες διακήρυξης</w:t>
      </w:r>
    </w:p>
    <w:p>
      <w:pPr>
        <w:spacing w:before="40" w:after="120"/>
      </w:pPr>
      <w:r>
        <w:rPr>
          <w:b/>
          <w:i w:val="0"/>
          <w:color w:val="0B7485"/>
          <w:sz w:val="22"/>
        </w:rPr>
        <w:t>Διασφαλίσεις κατά του εγκλωβισμού</w:t>
      </w:r>
    </w:p>
    <w:p>
      <w:pPr>
        <w:spacing w:before="40" w:after="200"/>
      </w:pPr>
      <w:r>
        <w:rPr>
          <w:b w:val="0"/>
          <w:i w:val="0"/>
          <w:sz w:val="20"/>
        </w:rPr>
        <w:t>Αυτές οι ρήτρες ανήκουν σε κάθε διακήρυξη, ανεξάρτητα από το τι προμηθεύεστε. Προέρχονται από την πρακτική των δημοσίων συμβάσεων γύρω από τους MIMs και το living-in.eu. Οι περισσότερες από αυτές δεν βασίζονται σε μία μόνο απαίτηση των προδιαγραφών, επομένως δεν φέρουν κωδικούς παραπομπής (η διαχείριση εκδόσεων API αποτελεί επίσης σύσταση του MIM0 C2). Η συμπερίληψή τους κοστίζει ελάχιστα· η παράλειψή τους μπορεί να κοστίσει τα πάντα.</w:t>
      </w:r>
    </w:p>
    <w:p>
      <w:pPr>
        <w:spacing w:before="40" w:after="20"/>
      </w:pPr>
      <w:r>
        <w:rPr>
          <w:b/>
          <w:i w:val="0"/>
          <w:color w:val="2F3F9E"/>
          <w:sz w:val="22"/>
        </w:rPr>
        <w:t xml:space="preserve">☐  </w:t>
      </w:r>
      <w:r>
        <w:rPr>
          <w:b/>
          <w:i w:val="0"/>
          <w:color w:val="2F3F9E"/>
          <w:sz w:val="21"/>
        </w:rPr>
        <w:t>X.1  Ρήτρα αποχώρησης</w:t>
      </w:r>
    </w:p>
    <w:p>
      <w:pPr>
        <w:spacing w:before="40" w:after="160"/>
      </w:pPr>
      <w:r>
        <w:rPr>
          <w:b w:val="0"/>
          <w:i w:val="0"/>
          <w:sz w:val="20"/>
        </w:rPr>
        <w:t>Κατά τη λήξη της σύμβασης, όλα τα δεδομένα του δήμου (και η παραμετροποίηση) παραδίδονται σε ανοικτές, τεκμηριωμένες μορφές χωρίς επιπλέον κόστος.</w:t>
      </w:r>
    </w:p>
    <w:p>
      <w:pPr>
        <w:spacing w:before="40" w:after="20"/>
      </w:pPr>
      <w:r>
        <w:rPr>
          <w:b/>
          <w:i w:val="0"/>
          <w:color w:val="2F3F9E"/>
          <w:sz w:val="22"/>
        </w:rPr>
        <w:t xml:space="preserve">☐  </w:t>
      </w:r>
      <w:r>
        <w:rPr>
          <w:b/>
          <w:i w:val="0"/>
          <w:color w:val="2F3F9E"/>
          <w:sz w:val="21"/>
        </w:rPr>
        <w:t>X.2  Δικαιώματα επί των δεδομένων</w:t>
      </w:r>
    </w:p>
    <w:p>
      <w:pPr>
        <w:spacing w:before="40" w:after="160"/>
      </w:pPr>
      <w:r>
        <w:rPr>
          <w:b w:val="0"/>
          <w:i w:val="0"/>
          <w:sz w:val="20"/>
        </w:rPr>
        <w:t>Όλα τα δικαιώματα επί των δεδομένων που συλλέγονται και παράγονται στο πλαίσιο της σύμβασης ανήκουν στην αναθέτουσα αρχή.</w:t>
      </w:r>
    </w:p>
    <w:p>
      <w:pPr>
        <w:spacing w:before="40" w:after="20"/>
      </w:pPr>
      <w:r>
        <w:rPr>
          <w:b/>
          <w:i w:val="0"/>
          <w:color w:val="2F3F9E"/>
          <w:sz w:val="22"/>
        </w:rPr>
        <w:t xml:space="preserve">☐  </w:t>
      </w:r>
      <w:r>
        <w:rPr>
          <w:b/>
          <w:i w:val="0"/>
          <w:color w:val="2F3F9E"/>
          <w:sz w:val="21"/>
        </w:rPr>
        <w:t>X.3  Χωρίς τέλη για τα δεδομένα του δήμου</w:t>
      </w:r>
    </w:p>
    <w:p>
      <w:pPr>
        <w:spacing w:before="40" w:after="160"/>
      </w:pPr>
      <w:r>
        <w:rPr>
          <w:b w:val="0"/>
          <w:i w:val="0"/>
          <w:sz w:val="20"/>
        </w:rPr>
        <w:t>Η αναθέτουσα αρχή δεν καταβάλλει κανένα τέλος για την πρόσβαση στα δικά της δεδομένα, ούτε ανά χρήστη ούτε ανά αίτημα.</w:t>
      </w:r>
    </w:p>
    <w:p>
      <w:pPr>
        <w:spacing w:before="40" w:after="20"/>
      </w:pPr>
      <w:r>
        <w:rPr>
          <w:b/>
          <w:i w:val="0"/>
          <w:color w:val="2F3F9E"/>
          <w:sz w:val="22"/>
        </w:rPr>
        <w:t xml:space="preserve">☐  </w:t>
      </w:r>
      <w:r>
        <w:rPr>
          <w:b/>
          <w:i w:val="0"/>
          <w:color w:val="2F3F9E"/>
          <w:sz w:val="21"/>
        </w:rPr>
        <w:t>X.4  Σταθερότητα API και διαχείριση εκδόσεων</w:t>
      </w:r>
    </w:p>
    <w:p>
      <w:pPr>
        <w:spacing w:before="40" w:after="160"/>
      </w:pPr>
      <w:r>
        <w:rPr>
          <w:b w:val="0"/>
          <w:i w:val="0"/>
          <w:sz w:val="20"/>
        </w:rPr>
        <w:t>Ο ανάδοχος διατηρεί το API συμβατό με προηγούμενες εκδόσεις (backwards compatible) καθ' όλη τη διάρκεια της σύμβασης. Μη συμβατές αλλαγές ανακοινώνονται τουλάχιστον 6 μήνες νωρίτερα και εκδίδονται ως νέα έκδοση, ενώ η προηγούμενη έκδοση παραμένει διαθέσιμη μέχρι τη συμφωνημένη ημερομηνία μετάβασης.</w:t>
      </w:r>
    </w:p>
    <w:p>
      <w:pPr>
        <w:spacing w:before="40" w:after="20"/>
      </w:pPr>
      <w:r>
        <w:rPr>
          <w:b/>
          <w:i w:val="0"/>
          <w:color w:val="2F3F9E"/>
          <w:sz w:val="22"/>
        </w:rPr>
        <w:t xml:space="preserve">☐  </w:t>
      </w:r>
      <w:r>
        <w:rPr>
          <w:b/>
          <w:i w:val="0"/>
          <w:color w:val="2F3F9E"/>
          <w:sz w:val="21"/>
        </w:rPr>
        <w:t>X.5  Επίδειξη και όχι υποσχέσεις</w:t>
      </w:r>
    </w:p>
    <w:p>
      <w:pPr>
        <w:spacing w:before="40" w:after="160"/>
      </w:pPr>
      <w:r>
        <w:rPr>
          <w:b w:val="0"/>
          <w:i w:val="0"/>
          <w:sz w:val="20"/>
        </w:rPr>
        <w:t>Οι προσφέροντες αποδεικνύουν τη συμμόρφωση κατά την αξιολόγηση των προσφορών αντί να υποβάλλουν υπεύθυνες δηλώσεις. Για ένα API αυτό σημαίνει δημοσιευμένη διαδραστική τεκμηρίωση (όπως το OpenAPI) και ζωντανή κλήση που επιστρέφει έγκυρα δεδομένα. Κάθε επιλεγμένο σημείο ελέγχεται ξανά κατά την παραλαβή.</w:t>
      </w:r>
    </w:p>
    <w:p>
      <w:pPr>
        <w:spacing w:before="40" w:after="20"/>
      </w:pPr>
      <w:r>
        <w:rPr>
          <w:b/>
          <w:i w:val="0"/>
          <w:color w:val="2F3F9E"/>
          <w:sz w:val="22"/>
        </w:rPr>
        <w:t xml:space="preserve">☐  </w:t>
      </w:r>
      <w:r>
        <w:rPr>
          <w:b/>
          <w:i w:val="0"/>
          <w:color w:val="2F3F9E"/>
          <w:sz w:val="21"/>
        </w:rPr>
        <w:t>X.6  Ρητή αναφορά ανοικτών προτύπων</w:t>
      </w:r>
    </w:p>
    <w:p>
      <w:pPr>
        <w:spacing w:before="40" w:after="160"/>
      </w:pPr>
      <w:r>
        <w:rPr>
          <w:b w:val="0"/>
          <w:i w:val="0"/>
          <w:sz w:val="20"/>
        </w:rPr>
        <w:t>Η διακήρυξη κατονομάζει συγκεκριμένα πρότυπα· οι ισχυρισμοί περί «συμβατότητας με» πρέπει να αναφέρουν την ακριβή διεπαφή και έκδοση. Κάθε παραπομπή σε πρότυπο ή τεχνική προδιαγραφή επιτρέπει την υποβολή ισοδύναμης λύσης· ο προσφέρων αποδεικνύει την ισοδυναμία.</w:t>
      </w:r>
    </w:p>
    <w:p>
      <w:pPr>
        <w:spacing w:before="40" w:after="20"/>
      </w:pPr>
      <w:r>
        <w:rPr>
          <w:b/>
          <w:i w:val="0"/>
          <w:color w:val="2F3F9E"/>
          <w:sz w:val="22"/>
        </w:rPr>
        <w:t xml:space="preserve">☐  </w:t>
      </w:r>
      <w:r>
        <w:rPr>
          <w:b/>
          <w:i w:val="0"/>
          <w:color w:val="2F3F9E"/>
          <w:sz w:val="21"/>
        </w:rPr>
        <w:t>X.7  Δήλωση συμμόρφωσης με τους MIMs</w:t>
      </w:r>
    </w:p>
    <w:p>
      <w:pPr>
        <w:spacing w:before="40" w:after="160"/>
      </w:pPr>
      <w:r>
        <w:rPr>
          <w:b w:val="0"/>
          <w:i w:val="0"/>
          <w:sz w:val="20"/>
        </w:rPr>
        <w:t>Ο προσφέρων συμπληρώνει τον πίνακα συμμόρφωσης (σελ. 28)· αυτός καθίσταται παράρτημα της σύμβασης.</w:t>
      </w:r>
    </w:p>
    <w:p>
      <w:r>
        <w:br w:type="page"/>
      </w:r>
    </w:p>
    <w:p>
      <w:pPr>
        <w:spacing w:before="120" w:after="160"/>
      </w:pPr>
      <w:r>
        <w:rPr>
          <w:b/>
          <w:i w:val="0"/>
          <w:color w:val="2F3F9E"/>
          <w:sz w:val="36"/>
        </w:rPr>
        <w:t>Παράδειγμα: ένας δήμος προμηθεύεται δίκτυο αισθητήρων ποιότητας αέρα</w:t>
      </w:r>
    </w:p>
    <w:p>
      <w:pPr>
        <w:spacing w:before="40" w:after="160"/>
      </w:pPr>
      <w:r>
        <w:rPr>
          <w:b w:val="0"/>
          <w:i w:val="0"/>
          <w:sz w:val="20"/>
        </w:rPr>
        <w:t>Επιλεγμένες σελίδες: MIM0, MIM1, MIM2, MIM6 και MIM7 (τα δεδομένα εμφανίζονται σε χάρτη). Από το MIM3 μόνο το σημείο 3.1 (τα δεδομένα ποιότητας αέρα δημοσιεύονται ως ανοικτά δεδομένα, άρα ανήκουν σε κατάλογο)· το MIM8 δεν εφαρμόζεται: το σύστημα δεν είναι ψηφιακό δίδυμο.</w:t>
      </w:r>
    </w:p>
    <w:p>
      <w:pPr>
        <w:spacing w:before="40" w:after="80"/>
      </w:pPr>
      <w:r>
        <w:rPr>
          <w:b/>
          <w:i w:val="0"/>
          <w:color w:val="2F3F9E"/>
          <w:sz w:val="22"/>
        </w:rPr>
        <w:t>Τι περιλαμβάνεται πού</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Έγγραφο</w:t>
            </w:r>
          </w:p>
        </w:tc>
        <w:tc>
          <w:tcPr>
            <w:tcW w:type="dxa" w:w="3324"/>
            <w:shd w:val="clear" w:fill="EEF0FB"/>
          </w:tcPr>
          <w:p>
            <w:r>
              <w:rPr>
                <w:b/>
                <w:i w:val="0"/>
                <w:color w:val="2F3F9E"/>
                <w:sz w:val="18"/>
              </w:rPr>
              <w:t>Όρος στην Οδηγία 2014/24/ΕΕ</w:t>
            </w:r>
          </w:p>
        </w:tc>
        <w:tc>
          <w:tcPr>
            <w:tcW w:type="dxa" w:w="3324"/>
            <w:shd w:val="clear" w:fill="EEF0FB"/>
          </w:tcPr>
          <w:p>
            <w:r>
              <w:rPr>
                <w:b/>
                <w:i w:val="0"/>
                <w:color w:val="2F3F9E"/>
                <w:sz w:val="18"/>
              </w:rPr>
              <w:t>Τι να συμπεριλάβετε σε αυτό</w:t>
            </w:r>
          </w:p>
        </w:tc>
      </w:tr>
      <w:tr>
        <w:tc>
          <w:tcPr>
            <w:tcW w:type="dxa" w:w="3324"/>
          </w:tcPr>
          <w:p>
            <w:r>
              <w:rPr>
                <w:b/>
                <w:i w:val="0"/>
                <w:color w:val="2F3F9E"/>
                <w:sz w:val="18"/>
              </w:rPr>
              <w:t>Τεχνικές προδιαγραφές</w:t>
            </w:r>
          </w:p>
        </w:tc>
        <w:tc>
          <w:tcPr>
            <w:tcW w:type="dxa" w:w="3324"/>
          </w:tcPr>
          <w:p>
            <w:r>
              <w:rPr>
                <w:b w:val="0"/>
                <w:i w:val="0"/>
                <w:color w:val="646B82"/>
                <w:sz w:val="17"/>
              </w:rPr>
              <w:t>τεχνικές προδιαγραφές (Άρθρο 42)</w:t>
            </w:r>
          </w:p>
        </w:tc>
        <w:tc>
          <w:tcPr>
            <w:tcW w:type="dxa" w:w="3324"/>
          </w:tcPr>
          <w:p>
            <w:r>
              <w:rPr>
                <w:b w:val="0"/>
                <w:i w:val="0"/>
                <w:sz w:val="18"/>
              </w:rPr>
              <w:t>τα επιλεγμένα σημεία των MIM0, MIM1, MIM2, MIM3 (μόνο το 3.1), MIM6 (εκτός του 6.4) και MIM7, αυτολεξεί, με τον κωδικό προδιαγραφής, συν τη ρήτρα περί ισοδυναμίας</w:t>
            </w:r>
          </w:p>
        </w:tc>
      </w:tr>
      <w:tr>
        <w:tc>
          <w:tcPr>
            <w:tcW w:type="dxa" w:w="3324"/>
          </w:tcPr>
          <w:p>
            <w:r>
              <w:rPr>
                <w:b/>
                <w:i w:val="0"/>
                <w:color w:val="2F3F9E"/>
                <w:sz w:val="18"/>
              </w:rPr>
              <w:t>Όροι συμμετοχής</w:t>
            </w:r>
          </w:p>
        </w:tc>
        <w:tc>
          <w:tcPr>
            <w:tcW w:type="dxa" w:w="3324"/>
          </w:tcPr>
          <w:p>
            <w:r>
              <w:rPr>
                <w:b w:val="0"/>
                <w:i w:val="0"/>
                <w:color w:val="646B82"/>
                <w:sz w:val="17"/>
              </w:rPr>
              <w:t>κριτήρια επιλογής (Άρθρα 58 και 62)</w:t>
            </w:r>
          </w:p>
        </w:tc>
        <w:tc>
          <w:tcPr>
            <w:tcW w:type="dxa" w:w="3324"/>
          </w:tcPr>
          <w:p>
            <w:r>
              <w:rPr>
                <w:b w:val="0"/>
                <w:i w:val="0"/>
                <w:sz w:val="18"/>
              </w:rPr>
              <w:t>αποδεδειγμένη ευθυγράμμιση με το ISO/IEC 27001:2022 ή ισοδύναμο (σημείο 6.4)</w:t>
            </w:r>
          </w:p>
        </w:tc>
      </w:tr>
      <w:tr>
        <w:tc>
          <w:tcPr>
            <w:tcW w:type="dxa" w:w="3324"/>
          </w:tcPr>
          <w:p>
            <w:r>
              <w:rPr>
                <w:b/>
                <w:i w:val="0"/>
                <w:color w:val="2F3F9E"/>
                <w:sz w:val="18"/>
              </w:rPr>
              <w:t>Αποδεικτικά μέσα</w:t>
            </w:r>
          </w:p>
        </w:tc>
        <w:tc>
          <w:tcPr>
            <w:tcW w:type="dxa" w:w="3324"/>
          </w:tcPr>
          <w:p>
            <w:r>
              <w:rPr>
                <w:b w:val="0"/>
                <w:i w:val="0"/>
                <w:color w:val="646B82"/>
                <w:sz w:val="17"/>
              </w:rPr>
              <w:t>εκθέσεις δοκιμών, πιστοποίηση και άλλα αποδεικτικά μέσα (Άρθρο 44)</w:t>
            </w:r>
          </w:p>
        </w:tc>
        <w:tc>
          <w:tcPr>
            <w:tcW w:type="dxa" w:w="3324"/>
          </w:tcPr>
          <w:p>
            <w:r>
              <w:rPr>
                <w:b w:val="0"/>
                <w:i w:val="0"/>
                <w:sz w:val="18"/>
              </w:rPr>
              <w:t>τον πίνακα συμμόρφωσης ως υποχρεωτικό παράρτημα της προσφοράς: M, E ή N για κάθε σημείο, με τα αποδεικτικά στοιχεία (διεύθυνση τεκμηρίωσης API, δοκιμαστική πρόσβαση)</w:t>
            </w:r>
          </w:p>
        </w:tc>
      </w:tr>
      <w:tr>
        <w:tc>
          <w:tcPr>
            <w:tcW w:type="dxa" w:w="3324"/>
          </w:tcPr>
          <w:p>
            <w:r>
              <w:rPr>
                <w:b/>
                <w:i w:val="0"/>
                <w:color w:val="2F3F9E"/>
                <w:sz w:val="18"/>
              </w:rPr>
              <w:t>Σχέδιο σύμβασης</w:t>
            </w:r>
          </w:p>
        </w:tc>
        <w:tc>
          <w:tcPr>
            <w:tcW w:type="dxa" w:w="3324"/>
          </w:tcPr>
          <w:p>
            <w:r>
              <w:rPr>
                <w:b w:val="0"/>
                <w:i w:val="0"/>
                <w:color w:val="646B82"/>
                <w:sz w:val="17"/>
              </w:rPr>
              <w:t>όροι εκτέλεσης της σύμβασης (Άρθρο 70)</w:t>
            </w:r>
          </w:p>
        </w:tc>
        <w:tc>
          <w:tcPr>
            <w:tcW w:type="dxa" w:w="3324"/>
          </w:tcPr>
          <w:p>
            <w:r>
              <w:rPr>
                <w:b w:val="0"/>
                <w:i w:val="0"/>
                <w:sz w:val="18"/>
              </w:rPr>
              <w:t>Ρήτρα αποχώρησης, Δικαιώματα επί των δεδομένων, Χωρίς τέλη για τα δεδομένα του δήμου, Σταθερότητα API και διαχείριση εκδόσεων· τον συμπληρωμένο πίνακα συμμόρφωσης ως παράρτημα</w:t>
            </w:r>
          </w:p>
        </w:tc>
      </w:tr>
      <w:tr>
        <w:tc>
          <w:tcPr>
            <w:tcW w:type="dxa" w:w="3324"/>
          </w:tcPr>
          <w:p>
            <w:r>
              <w:rPr>
                <w:b/>
                <w:i w:val="0"/>
                <w:color w:val="2F3F9E"/>
                <w:sz w:val="18"/>
              </w:rPr>
              <w:t>Πρωτόκολλο παραλαβής</w:t>
            </w:r>
          </w:p>
        </w:tc>
        <w:tc>
          <w:tcPr>
            <w:tcW w:type="dxa" w:w="3324"/>
          </w:tcPr>
          <w:p>
            <w:r>
              <w:rPr>
                <w:b w:val="0"/>
                <w:i w:val="0"/>
                <w:color w:val="646B82"/>
                <w:sz w:val="17"/>
              </w:rPr>
              <w:t>όροι εκτέλεσης της σύμβασης (Άρθρο 70)</w:t>
            </w:r>
          </w:p>
        </w:tc>
        <w:tc>
          <w:tcPr>
            <w:tcW w:type="dxa" w:w="3324"/>
          </w:tcPr>
          <w:p>
            <w:r>
              <w:rPr>
                <w:b w:val="0"/>
                <w:i w:val="0"/>
                <w:sz w:val="18"/>
              </w:rPr>
              <w:t>τη στήλη «Επαληθεύτηκε» του πίνακα συμμόρφωσης ως πρωτόκολλο δοκιμών</w:t>
            </w:r>
          </w:p>
        </w:tc>
      </w:tr>
    </w:tbl>
    <w:p>
      <w:pPr>
        <w:spacing w:before="200" w:after="80"/>
      </w:pPr>
      <w:r>
        <w:rPr>
          <w:b/>
          <w:i w:val="0"/>
          <w:color w:val="2F3F9E"/>
          <w:sz w:val="22"/>
        </w:rPr>
        <w:t>Υπόδειγμα διατύπωσης για τις τεχνικές προδιαγραφές</w:t>
      </w:r>
    </w:p>
    <w:p>
      <w:pPr>
        <w:spacing w:before="40" w:after="60"/>
      </w:pPr>
      <w:r>
        <w:rPr>
          <w:b/>
          <w:i w:val="0"/>
          <w:sz w:val="19"/>
        </w:rPr>
        <w:t>4.3 Διαλειτουργικότητα και πρόσβαση σε δεδομένα</w:t>
      </w:r>
    </w:p>
    <w:p>
      <w:pPr>
        <w:spacing w:before="40" w:after="60"/>
      </w:pPr>
      <w:r>
        <w:rPr>
          <w:b w:val="0"/>
          <w:i w:val="0"/>
          <w:sz w:val="19"/>
        </w:rPr>
        <w:t>4.3.1 Όλα τα δεδομένα που συλλέγει ή παράγει το σύστημα είναι ανακτήσιμα σε τουλάχιστον μία μηχαναγνώσιμη μορφή (π.χ. JSON, CSV) μέσω τυποποιημένου διαδικτυακού API. (MIMs Plus 9.0, MIM0 R1.1, R1.2)</w:t>
      </w:r>
    </w:p>
    <w:p>
      <w:pPr>
        <w:spacing w:before="40" w:after="60"/>
      </w:pPr>
      <w:r>
        <w:rPr>
          <w:b w:val="0"/>
          <w:i w:val="0"/>
          <w:sz w:val="19"/>
        </w:rPr>
        <w:t>4.3.2 Το API περιγράφεται επίσημα σε ανοικτό, μηχαναγνώσιμο έγγραφο (για παράδειγμα OpenAPI) που δημοσιεύεται σε σταθερή διεύθυνση. (MIM0 R1.3)</w:t>
      </w:r>
    </w:p>
    <w:p>
      <w:pPr>
        <w:spacing w:before="40" w:after="60"/>
      </w:pPr>
      <w:r>
        <w:rPr>
          <w:b w:val="0"/>
          <w:i w:val="0"/>
          <w:sz w:val="19"/>
        </w:rPr>
        <w:t>4.3.3 Το API επιτρέπει το φιλτράρισμα δεδομένων βάσει χρόνου και τόπου μέτρησης. (MIM0 R2.1, R2.2)</w:t>
      </w:r>
    </w:p>
    <w:p>
      <w:pPr>
        <w:spacing w:before="40" w:after="60"/>
      </w:pPr>
      <w:r>
        <w:rPr>
          <w:b w:val="0"/>
          <w:i w:val="0"/>
          <w:sz w:val="19"/>
        </w:rPr>
        <w:t>… 4.3.4 έως 4.3.21: περαιτέρω επιλεγμένα σημεία …</w:t>
      </w:r>
    </w:p>
    <w:p>
      <w:pPr>
        <w:spacing w:before="40" w:after="60"/>
      </w:pPr>
      <w:r>
        <w:rPr>
          <w:b w:val="0"/>
          <w:i w:val="0"/>
          <w:sz w:val="19"/>
        </w:rPr>
        <w:t>4.3.22 Κάθε παραπομπή σε πρότυπο ή τεχνική προδιαγραφή επιτρέπει την υποβολή ισοδύναμης λύσης· ο προσφέρων αποδεικνύει την ισοδυναμία.</w:t>
      </w:r>
    </w:p>
    <w:p>
      <w:pPr>
        <w:spacing w:before="40" w:after="60"/>
      </w:pPr>
      <w:r>
        <w:rPr>
          <w:b w:val="0"/>
          <w:i w:val="0"/>
          <w:sz w:val="19"/>
        </w:rPr>
        <w:t>4.3.23 Ο προσφέρων συμπληρώνει τον πίνακα συμμόρφωσης (παράρτημα των εγγράφων της σύμβασης) και παρέχει τα αποδεικτικά στοιχεία για κάθε απαιτούμενο σημείο. Κατά την αξιολόγηση των προσφορών ο προσφέρων επιδεικνύει τα σημεία 4.3.1 έως 4.3.21 (για παράδειγμα με ζωντανή κλήση API)· προσφορά που αποτυγχάνει σε απαιτούμενο σημείο δεν πληροί τις απαιτήσεις για το αντικείμενο της σύμβασης. Η αναθέτουσα αρχή ελέγχει τα σημεία ξανά κατά την παραλαβή· ενδεχόμενη αποτυχία τότε αποτελεί λόγο άρνησης της παραλαβής.</w:t>
      </w:r>
    </w:p>
    <w:p>
      <w:pPr>
        <w:spacing w:before="120" w:after="80"/>
      </w:pPr>
      <w:r>
        <w:rPr>
          <w:b w:val="0"/>
          <w:i/>
          <w:color w:val="646B82"/>
          <w:sz w:val="18"/>
        </w:rPr>
        <w:t>Το σημείο 4.3.3 δείχνει ότι μπορείτε να εξειδικεύσετε ένα σημείο ώστε να ταιριάζει στην προμήθεια: για τους αισθητήρες είναι λογικό να ζητηθεί φιλτράρισμα βάσει χρόνου και τόπου μέτρησης.</w:t>
      </w:r>
    </w:p>
    <w:p>
      <w:pPr>
        <w:spacing w:before="160" w:after="80"/>
      </w:pPr>
      <w:r>
        <w:rPr>
          <w:b/>
          <w:i w:val="0"/>
          <w:color w:val="2F3F9E"/>
          <w:sz w:val="22"/>
        </w:rPr>
        <w:t>Συμπληρωμένος πίνακας συμμόρφωσης (απόσπασμα)</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Απαίτηση (σύντομη)</w:t>
            </w:r>
          </w:p>
        </w:tc>
        <w:tc>
          <w:tcPr>
            <w:tcW w:type="dxa" w:w="1994"/>
            <w:shd w:val="clear" w:fill="EEF0FB"/>
          </w:tcPr>
          <w:p>
            <w:r>
              <w:rPr>
                <w:b/>
                <w:i w:val="0"/>
                <w:color w:val="2F3F9E"/>
                <w:sz w:val="17"/>
              </w:rPr>
              <w:t>M / E / N</w:t>
            </w:r>
          </w:p>
        </w:tc>
        <w:tc>
          <w:tcPr>
            <w:tcW w:type="dxa" w:w="1994"/>
            <w:shd w:val="clear" w:fill="EEF0FB"/>
          </w:tcPr>
          <w:p>
            <w:r>
              <w:rPr>
                <w:b/>
                <w:i w:val="0"/>
                <w:color w:val="2F3F9E"/>
                <w:sz w:val="17"/>
              </w:rPr>
              <w:t>Αποδεικτικά στοιχεία: πώς και πού</w:t>
            </w:r>
          </w:p>
        </w:tc>
        <w:tc>
          <w:tcPr>
            <w:tcW w:type="dxa" w:w="1994"/>
            <w:shd w:val="clear" w:fill="EEF0FB"/>
          </w:tcPr>
          <w:p>
            <w:r>
              <w:rPr>
                <w:b/>
                <w:i w:val="0"/>
                <w:color w:val="2F3F9E"/>
                <w:sz w:val="17"/>
              </w:rPr>
              <w:t>Επαληθεύτηκε</w:t>
            </w:r>
          </w:p>
        </w:tc>
      </w:tr>
      <w:tr>
        <w:tc>
          <w:tcPr>
            <w:tcW w:type="dxa" w:w="1994"/>
          </w:tcPr>
          <w:p>
            <w:r>
              <w:rPr>
                <w:b w:val="0"/>
                <w:i w:val="0"/>
                <w:sz w:val="17"/>
              </w:rPr>
              <w:t>0.1</w:t>
            </w:r>
          </w:p>
        </w:tc>
        <w:tc>
          <w:tcPr>
            <w:tcW w:type="dxa" w:w="1994"/>
          </w:tcPr>
          <w:p>
            <w:r>
              <w:rPr>
                <w:b w:val="0"/>
                <w:i w:val="0"/>
                <w:sz w:val="17"/>
              </w:rPr>
              <w:t>Μηχαναγνώσιμα δεδομένα μέσω τυποποιημένου web API</w:t>
            </w:r>
          </w:p>
        </w:tc>
        <w:tc>
          <w:tcPr>
            <w:tcW w:type="dxa" w:w="1994"/>
          </w:tcPr>
          <w:p>
            <w:r>
              <w:rPr>
                <w:b w:val="0"/>
                <w:i w:val="0"/>
                <w:sz w:val="17"/>
              </w:rPr>
              <w:t>M</w:t>
            </w:r>
          </w:p>
        </w:tc>
        <w:tc>
          <w:tcPr>
            <w:tcW w:type="dxa" w:w="1994"/>
          </w:tcPr>
          <w:p>
            <w:r>
              <w:rPr>
                <w:b w:val="0"/>
                <w:i w:val="0"/>
                <w:sz w:val="17"/>
              </w:rPr>
              <w:t>Το REST API επιστρέφει JSON και CSV· τεκμηρίωση στη διεύθυνση που αναφέρεται στην προσφορά, σελ. 12· δοκιμαστική πρόσβαση στο παράρτημα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Εγγραφή σε αλλαγές όπου απαιτείται</w:t>
            </w:r>
          </w:p>
        </w:tc>
        <w:tc>
          <w:tcPr>
            <w:tcW w:type="dxa" w:w="1994"/>
          </w:tcPr>
          <w:p>
            <w:r>
              <w:rPr>
                <w:b w:val="0"/>
                <w:i w:val="0"/>
                <w:sz w:val="17"/>
              </w:rPr>
              <w:t>N</w:t>
            </w:r>
          </w:p>
        </w:tc>
        <w:tc>
          <w:tcPr>
            <w:tcW w:type="dxa" w:w="1994"/>
          </w:tcPr>
          <w:p>
            <w:r>
              <w:rPr>
                <w:b w:val="0"/>
                <w:i w:val="0"/>
                <w:sz w:val="17"/>
              </w:rPr>
              <w:t>δεν υποστηρίζεται ακόμη· έχει προγραμματιστεί για την επόμενη έκδοση</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Ανοικτές γεωχωρικές μορφές</w:t>
            </w:r>
          </w:p>
        </w:tc>
        <w:tc>
          <w:tcPr>
            <w:tcW w:type="dxa" w:w="1994"/>
          </w:tcPr>
          <w:p>
            <w:r>
              <w:rPr>
                <w:b w:val="0"/>
                <w:i w:val="0"/>
                <w:sz w:val="17"/>
              </w:rPr>
              <w:t>E</w:t>
            </w:r>
          </w:p>
        </w:tc>
        <w:tc>
          <w:tcPr>
            <w:tcW w:type="dxa" w:w="1994"/>
          </w:tcPr>
          <w:p>
            <w:r>
              <w:rPr>
                <w:b w:val="0"/>
                <w:i w:val="0"/>
                <w:sz w:val="17"/>
              </w:rPr>
              <w:t>παρέχει GeoPackage, ένα ανοικτό πρότυπο OGC, αντί για GeoJSON· η ισοδυναμία επεξηγείται στην προσφορά, σελ. 15</w:t>
            </w:r>
          </w:p>
        </w:tc>
        <w:tc>
          <w:tcPr>
            <w:tcW w:type="dxa" w:w="1994"/>
          </w:tcPr>
          <w:p>
            <w:r>
              <w:rPr>
                <w:b w:val="0"/>
                <w:i w:val="0"/>
                <w:sz w:val="17"/>
              </w:rPr>
              <w:t>✓</w:t>
            </w:r>
          </w:p>
        </w:tc>
      </w:tr>
    </w:tbl>
    <w:p>
      <w:pPr>
        <w:spacing w:before="80" w:after="80"/>
      </w:pPr>
      <w:r>
        <w:rPr>
          <w:b w:val="0"/>
          <w:i/>
          <w:color w:val="646B82"/>
          <w:sz w:val="18"/>
        </w:rPr>
        <w:t>Μια υπόσχεση μελλοντικής λειτουργικότητας λογίζεται ως N: η επιτροπή επαληθεύει μόνο ό,τι μπορεί να επιδείξει ο προσφέρων. Για ένα απαιτούμενο σημείο, το N σημαίνει ότι η προσφορά δεν πληροί τις απαιτήσεις για το αντικείμενο της σύμβασης.</w:t>
      </w:r>
    </w:p>
    <w:p>
      <w:pPr>
        <w:spacing w:before="40" w:after="80"/>
      </w:pPr>
      <w:r>
        <w:rPr>
          <w:b w:val="0"/>
          <w:i/>
          <w:color w:val="646B82"/>
          <w:sz w:val="18"/>
        </w:rPr>
        <w:t>Προσαρμόστε τη διατύπωση στο εθνικό δίκαιο και αναθέστε τον έλεγχό της στον υπεύθυνο προμηθειών.</w:t>
      </w:r>
    </w:p>
    <w:p>
      <w:r>
        <w:br w:type="page"/>
      </w:r>
    </w:p>
    <w:p>
      <w:pPr>
        <w:spacing w:before="120" w:after="160"/>
      </w:pPr>
      <w:r>
        <w:rPr>
          <w:b/>
          <w:i w:val="0"/>
          <w:color w:val="2F3F9E"/>
          <w:sz w:val="36"/>
        </w:rPr>
        <w:t>Πίνακας συμμόρφωσης</w:t>
      </w:r>
    </w:p>
    <w:p>
      <w:pPr>
        <w:spacing w:before="40" w:after="80"/>
      </w:pPr>
      <w:r>
        <w:rPr>
          <w:b w:val="0"/>
          <w:i w:val="0"/>
          <w:sz w:val="19"/>
        </w:rPr>
        <w:t>Μία γραμμή ανά σημείο. Η αναθέτουσα αρχή επιλέγει όσα απαιτεί η σύμβαση και επισυνάπτει τον πίνακα στα έγγραφα της σύμβασης ως υποχρεωτικό παράρτημα της προσφοράς. Για κάθε απαιτούμενο σημείο ο προσφέρων συμπληρώνει M (πληροί), E (πληροί μέσω ισοδύναμης λύσης) ή N (δεν πληροί), συνοπτικά τον τρόπο, και πού βρίσκονται τα αποδεικτικά στοιχεία: διεύθυνση τεκμηρίωσης, δοκιμαστική πρόσβαση, σελίδα της προσφοράς. Μια δήλωση χωρίς αποδεικτικά στοιχεία δεν επαρκεί. Η επιτροπή αξιολόγησης επαληθεύει κάθε σημείο κατά την αξιολόγηση των προσφορών και ξανά κατά την παραλαβή (✓ επιβεβαιώθηκε, ✗ δεν επιβεβαιώθηκε, — δεν ελέγχθηκε).</w:t>
      </w:r>
    </w:p>
    <w:p>
      <w:pPr>
        <w:spacing w:before="40" w:after="160"/>
      </w:pPr>
      <w:r>
        <w:rPr>
          <w:b w:val="0"/>
          <w:i w:val="0"/>
          <w:sz w:val="19"/>
        </w:rPr>
        <w:t>Ο συμπληρωμένος πίνακας αποτελεί μέρος της προσφοράς και καθίσταται παράρτημα της σύμβασης. Επαληθεύει ότι πληρούνται οι απαιτήσεις για το αντικείμενο της σύμβασης (πληρούται ή δεν πληρούται)· δεν αποτελεί κριτήριο ανάθεσης. Για να βαθμολογήσετε τη συμμόρφωση, δηλώστε το μεταξύ των κριτηρίων ανάθεσης που δημοσιεύονται εκ των προτέρων στα έγγραφα της σύμβασης (Οδηγία 2014/24/ΕΕ, Άρθρο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Απαίτηση (σύντομη)</w:t>
            </w:r>
          </w:p>
        </w:tc>
        <w:tc>
          <w:tcPr>
            <w:tcW w:type="dxa" w:w="1701"/>
            <w:shd w:val="clear" w:fill="EEF0FB"/>
          </w:tcPr>
          <w:p>
            <w:r>
              <w:rPr>
                <w:b/>
                <w:i w:val="0"/>
                <w:color w:val="2F3F9E"/>
                <w:sz w:val="17"/>
              </w:rPr>
              <w:t>Παραπομπή</w:t>
            </w:r>
          </w:p>
        </w:tc>
        <w:tc>
          <w:tcPr>
            <w:tcW w:type="dxa" w:w="1077"/>
            <w:shd w:val="clear" w:fill="EEF0FB"/>
          </w:tcPr>
          <w:p>
            <w:r>
              <w:rPr>
                <w:b/>
                <w:i w:val="0"/>
                <w:color w:val="2F3F9E"/>
                <w:sz w:val="17"/>
              </w:rPr>
              <w:t>Απαιτείται;</w:t>
            </w:r>
          </w:p>
          <w:p>
            <w:r>
              <w:rPr>
                <w:b w:val="0"/>
                <w:i/>
                <w:color w:val="646B82"/>
                <w:sz w:val="15"/>
              </w:rPr>
              <w:t>αρχή</w:t>
            </w:r>
          </w:p>
        </w:tc>
        <w:tc>
          <w:tcPr>
            <w:tcW w:type="dxa" w:w="794"/>
            <w:shd w:val="clear" w:fill="EEF0FB"/>
          </w:tcPr>
          <w:p>
            <w:r>
              <w:rPr>
                <w:b/>
                <w:i w:val="0"/>
                <w:color w:val="2F3F9E"/>
                <w:sz w:val="17"/>
              </w:rPr>
              <w:t>M / E / N</w:t>
            </w:r>
          </w:p>
          <w:p>
            <w:r>
              <w:rPr>
                <w:b w:val="0"/>
                <w:i/>
                <w:color w:val="646B82"/>
                <w:sz w:val="15"/>
              </w:rPr>
              <w:t>προσφέρων</w:t>
            </w:r>
          </w:p>
        </w:tc>
        <w:tc>
          <w:tcPr>
            <w:tcW w:type="dxa" w:w="2154"/>
            <w:shd w:val="clear" w:fill="EEF0FB"/>
          </w:tcPr>
          <w:p>
            <w:r>
              <w:rPr>
                <w:b/>
                <w:i w:val="0"/>
                <w:color w:val="2F3F9E"/>
                <w:sz w:val="17"/>
              </w:rPr>
              <w:t>Αποδεικτικά στοιχεία: πώς και πού</w:t>
            </w:r>
          </w:p>
          <w:p>
            <w:r>
              <w:rPr>
                <w:b w:val="0"/>
                <w:i/>
                <w:color w:val="646B82"/>
                <w:sz w:val="15"/>
              </w:rPr>
              <w:t>προσφέρων</w:t>
            </w:r>
          </w:p>
        </w:tc>
        <w:tc>
          <w:tcPr>
            <w:tcW w:type="dxa" w:w="794"/>
            <w:shd w:val="clear" w:fill="EEF0FB"/>
          </w:tcPr>
          <w:p>
            <w:r>
              <w:rPr>
                <w:b/>
                <w:i w:val="0"/>
                <w:color w:val="2F3F9E"/>
                <w:sz w:val="17"/>
              </w:rPr>
              <w:t>Επαληθεύτηκε</w:t>
            </w:r>
          </w:p>
          <w:p>
            <w:r>
              <w:rPr>
                <w:b w:val="0"/>
                <w:i/>
                <w:color w:val="646B82"/>
                <w:sz w:val="15"/>
              </w:rPr>
              <w:t>επιτροπή</w:t>
            </w:r>
          </w:p>
        </w:tc>
      </w:tr>
      <w:tr>
        <w:tc>
          <w:tcPr>
            <w:tcW w:type="dxa" w:w="9975"/>
            <w:gridSpan w:val="7"/>
            <w:shd w:val="clear" w:fill="2F3F9E"/>
          </w:tcPr>
          <w:p>
            <w:r>
              <w:rPr>
                <w:b/>
                <w:i w:val="0"/>
                <w:color w:val="FFFFFF"/>
                <w:sz w:val="17"/>
              </w:rPr>
              <w:t>MIM0 · Μπορούμε να εξαγάγουμε τα δεδομένα μας;</w:t>
            </w:r>
          </w:p>
        </w:tc>
      </w:tr>
      <w:tr>
        <w:tc>
          <w:tcPr>
            <w:tcW w:type="dxa" w:w="567"/>
          </w:tcPr>
          <w:p>
            <w:r>
              <w:rPr>
                <w:b w:val="0"/>
                <w:i w:val="0"/>
                <w:sz w:val="17"/>
              </w:rPr>
              <w:t>0.1</w:t>
            </w:r>
          </w:p>
        </w:tc>
        <w:tc>
          <w:tcPr>
            <w:tcW w:type="dxa" w:w="2608"/>
          </w:tcPr>
          <w:p>
            <w:r>
              <w:rPr>
                <w:b w:val="0"/>
                <w:i w:val="0"/>
                <w:sz w:val="17"/>
              </w:rPr>
              <w:t>Μηχαναγνώσιμα δεδομένα μέσω τυποποιημένου web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Ανοικτή περιγραφή API (OpenAPI) σε σταθερή διεύθυνση</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Φιλτράρισμα βάσει χρόνου, τόπου, ιδιοτήτων</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Εγγραφή σε αλλαγές όπου απαιτείται</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Τυποποιημένα σφάλματα HTTP, προσωρινή αποθήκευση, όρια</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Έχει κάθε οντότητα ένα όνομα με διάρκεια στον χρόνο;</w:t>
            </w:r>
          </w:p>
        </w:tc>
      </w:tr>
      <w:tr>
        <w:tc>
          <w:tcPr>
            <w:tcW w:type="dxa" w:w="567"/>
          </w:tcPr>
          <w:p>
            <w:r>
              <w:rPr>
                <w:b w:val="0"/>
                <w:i w:val="0"/>
                <w:sz w:val="17"/>
              </w:rPr>
              <w:t>1.1</w:t>
            </w:r>
          </w:p>
        </w:tc>
        <w:tc>
          <w:tcPr>
            <w:tcW w:type="dxa" w:w="2608"/>
          </w:tcPr>
          <w:p>
            <w:r>
              <w:rPr>
                <w:b w:val="0"/>
                <w:i w:val="0"/>
                <w:sz w:val="17"/>
              </w:rPr>
              <w:t>Μοναδικό μόνιμο αναγνωριστικό ανά οντότητα</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Η αναζήτηση αναγνωριστικού επιστρέφει δεδομένα + τύπο</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Αντιστοίχιση αναγνωριστικών μεταξύ συστημάτων</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Χωρίς εσωτερικά στοιχεία προμηθευτή στα αναγνωριστικά</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Μιλάμε μια κοινή γλώσσα;</w:t>
            </w:r>
          </w:p>
        </w:tc>
      </w:tr>
      <w:tr>
        <w:tc>
          <w:tcPr>
            <w:tcW w:type="dxa" w:w="567"/>
          </w:tcPr>
          <w:p>
            <w:r>
              <w:rPr>
                <w:b w:val="0"/>
                <w:i w:val="0"/>
                <w:sz w:val="17"/>
              </w:rPr>
              <w:t>2.1</w:t>
            </w:r>
          </w:p>
        </w:tc>
        <w:tc>
          <w:tcPr>
            <w:tcW w:type="dxa" w:w="2608"/>
          </w:tcPr>
          <w:p>
            <w:r>
              <w:rPr>
                <w:b w:val="0"/>
                <w:i w:val="0"/>
                <w:sz w:val="17"/>
              </w:rPr>
              <w:t>Τυποποιημένα μοντέλα δεδομένων όπου είναι δυνατόν</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Τεκμηριωμένα μοντέλα, ρητές μονάδες μέτρησης</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Επεκτάσεις ως προφίλ, ποτέ διακλαδώσεις</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Ανοικτή σειριοποίηση με δυνατότητα επικύρωσης σχήματος</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Μπορούμε να κάνουμε κοινή χρήση με σαφείς όρους;</w:t>
            </w:r>
          </w:p>
        </w:tc>
      </w:tr>
      <w:tr>
        <w:tc>
          <w:tcPr>
            <w:tcW w:type="dxa" w:w="567"/>
          </w:tcPr>
          <w:p>
            <w:r>
              <w:rPr>
                <w:b w:val="0"/>
                <w:i w:val="0"/>
                <w:sz w:val="17"/>
              </w:rPr>
              <w:t>3.1</w:t>
            </w:r>
          </w:p>
        </w:tc>
        <w:tc>
          <w:tcPr>
            <w:tcW w:type="dxa" w:w="2608"/>
          </w:tcPr>
          <w:p>
            <w:r>
              <w:rPr>
                <w:b w:val="0"/>
                <w:i w:val="0"/>
                <w:sz w:val="17"/>
              </w:rPr>
              <w:t>Καταλογογράφηση δεδομένων με τυποποιημένα μεταδεδομένα</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Πρότυπες άδειες και συμφωνίες</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Ο δήμος ελέγχει ο ίδιος τους όρους πρόσβασης</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Είναι τα δεδομένα μας ασφαλή;</w:t>
            </w:r>
          </w:p>
        </w:tc>
      </w:tr>
      <w:tr>
        <w:tc>
          <w:tcPr>
            <w:tcW w:type="dxa" w:w="567"/>
          </w:tcPr>
          <w:p>
            <w:r>
              <w:rPr>
                <w:b w:val="0"/>
                <w:i w:val="0"/>
                <w:sz w:val="17"/>
              </w:rPr>
              <w:t>6.1</w:t>
            </w:r>
          </w:p>
        </w:tc>
        <w:tc>
          <w:tcPr>
            <w:tcW w:type="dxa" w:w="2608"/>
          </w:tcPr>
          <w:p>
            <w:r>
              <w:rPr>
                <w:b w:val="0"/>
                <w:i w:val="0"/>
                <w:sz w:val="17"/>
              </w:rPr>
              <w:t>Κρυπτογραφημένη μεταφορά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Τυποποιημένη σύνδεση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Πρόσβαση βάσει ρόλων + καταγραφές ελέγχου</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Αποδεδειγμένη ευθυγράμμιση με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Λειτουργεί σε χάρτη;</w:t>
            </w:r>
          </w:p>
        </w:tc>
      </w:tr>
      <w:tr>
        <w:tc>
          <w:tcPr>
            <w:tcW w:type="dxa" w:w="567"/>
          </w:tcPr>
          <w:p>
            <w:r>
              <w:rPr>
                <w:b w:val="0"/>
                <w:i w:val="0"/>
                <w:sz w:val="17"/>
              </w:rPr>
              <w:t>7.1</w:t>
            </w:r>
          </w:p>
        </w:tc>
        <w:tc>
          <w:tcPr>
            <w:tcW w:type="dxa" w:w="2608"/>
          </w:tcPr>
          <w:p>
            <w:r>
              <w:rPr>
                <w:b w:val="0"/>
                <w:i w:val="0"/>
                <w:sz w:val="17"/>
              </w:rPr>
              <w:t>Τυποποιημένες διεπαφές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Ανοικτές γεωχωρικές μορφές</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Δηλωμένο CRS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Μόνιμα IDs σε χωρικά χαρακτηριστικά (βλ.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Μπορεί το ψηφιακό μας δίδυμο να αναπτυχθεί;</w:t>
            </w:r>
          </w:p>
        </w:tc>
      </w:tr>
      <w:tr>
        <w:tc>
          <w:tcPr>
            <w:tcW w:type="dxa" w:w="567"/>
          </w:tcPr>
          <w:p>
            <w:r>
              <w:rPr>
                <w:b w:val="0"/>
                <w:i w:val="0"/>
                <w:sz w:val="17"/>
              </w:rPr>
              <w:t>8.1</w:t>
            </w:r>
          </w:p>
        </w:tc>
        <w:tc>
          <w:tcPr>
            <w:tcW w:type="dxa" w:w="2608"/>
          </w:tcPr>
          <w:p>
            <w:r>
              <w:rPr>
                <w:b w:val="0"/>
                <w:i w:val="0"/>
                <w:sz w:val="17"/>
              </w:rPr>
              <w:t>Δεδομένα και έξοδοι διδύμου μέσω APIs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Τεκμηριωμένα και κλήσιμα μοντέλα</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Τυποποιημένες μορφές εξόδου</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Καταγραφή προέλευσης ροής εργασιών</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Οριζόντιες ρήτρες διακήρυξης   Ο προσφέρων επιβεβαιώνει την αποδοχή του όρου της σύμβασης (M / N).</w:t>
            </w:r>
          </w:p>
        </w:tc>
      </w:tr>
      <w:tr>
        <w:tc>
          <w:tcPr>
            <w:tcW w:type="dxa" w:w="567"/>
          </w:tcPr>
          <w:p>
            <w:r>
              <w:rPr>
                <w:b w:val="0"/>
                <w:i w:val="0"/>
                <w:sz w:val="17"/>
              </w:rPr>
              <w:t>X.1</w:t>
            </w:r>
          </w:p>
        </w:tc>
        <w:tc>
          <w:tcPr>
            <w:tcW w:type="dxa" w:w="2608"/>
          </w:tcPr>
          <w:p>
            <w:r>
              <w:rPr>
                <w:b w:val="0"/>
                <w:i w:val="0"/>
                <w:sz w:val="17"/>
              </w:rPr>
              <w:t>Ρήτρα αποχώρησης: δωρεάν παράδοση σε ανοικτές μορφές</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Τα δικαιώματα στα δεδομένα ανήκουν στην αναθέτουσα αρχή</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Χωρίς τέλη πρόσβασης στα δεδομένα του δήμου</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Σταθερότητα API: εκδόσεις, προειδοποίηση 6 μηνών</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Οι σύντομες περιγραφές παρακάτω αντιπροσωπεύουν τα πλήρη σημεία του καταλόγου ελέγχου στις σελίδες των MIMs — σε περίπτωση αμφιβολίας, υπερισχύει το πλήρες κείμενο του σημείου.</w:t>
      </w:r>
    </w:p>
    <w:p>
      <w:pPr>
        <w:spacing w:before="40" w:after="80"/>
      </w:pPr>
      <w:r>
        <w:rPr>
          <w:b w:val="0"/>
          <w:i w:val="0"/>
          <w:color w:val="646B82"/>
          <w:sz w:val="17"/>
        </w:rPr>
        <w:t>Μια επεξεργάσιμη έκδοση του πίνακα διατίθεται στη διεύθυνση: https://www.joinedcontext.com/mims/</w:t>
      </w:r>
    </w:p>
    <w:p>
      <w:r>
        <w:br w:type="page"/>
      </w:r>
    </w:p>
    <w:p>
      <w:pPr>
        <w:spacing w:before="120" w:after="160"/>
      </w:pPr>
      <w:r>
        <w:rPr>
          <w:b/>
          <w:i w:val="0"/>
          <w:color w:val="2F3F9E"/>
          <w:sz w:val="36"/>
        </w:rPr>
        <w:t>Μικρό γλωσσάρι</w:t>
      </w:r>
    </w:p>
    <w:p>
      <w:pPr>
        <w:spacing w:before="40" w:after="120"/>
      </w:pPr>
      <w:r>
        <w:rPr>
          <w:b/>
          <w:i w:val="0"/>
          <w:color w:val="2F3F9E"/>
          <w:sz w:val="20"/>
        </w:rPr>
        <w:t xml:space="preserve">API  —  </w:t>
      </w:r>
      <w:r>
        <w:rPr>
          <w:b w:val="0"/>
          <w:i w:val="0"/>
          <w:sz w:val="20"/>
        </w:rPr>
        <w:t>Μια πύλη μέσω της οποίας ένα πρόγραμμα ζητά δεδομένα από ένα άλλο — μέσω του διαδικτύου, χωρίς ανθρώπινη παρέμβαση.</w:t>
      </w:r>
    </w:p>
    <w:p>
      <w:pPr>
        <w:spacing w:before="40" w:after="120"/>
      </w:pPr>
      <w:r>
        <w:rPr>
          <w:b/>
          <w:i w:val="0"/>
          <w:color w:val="2F3F9E"/>
          <w:sz w:val="20"/>
        </w:rPr>
        <w:t xml:space="preserve">Μοντέλο δεδομένων  —  </w:t>
      </w:r>
      <w:r>
        <w:rPr>
          <w:b w:val="0"/>
          <w:i w:val="0"/>
          <w:sz w:val="20"/>
        </w:rPr>
        <w:t>Η συμφωνημένη δομή των δεδομένων: ποια πεδία υπάρχουν, τι σημαίνουν, ποιες μονάδες μέτρησης χρησιμοποιούν.</w:t>
      </w:r>
    </w:p>
    <w:p>
      <w:pPr>
        <w:spacing w:before="40" w:after="120"/>
      </w:pPr>
      <w:r>
        <w:rPr>
          <w:b/>
          <w:i w:val="0"/>
          <w:color w:val="2F3F9E"/>
          <w:sz w:val="20"/>
        </w:rPr>
        <w:t xml:space="preserve">DCAT-AP  —  </w:t>
      </w:r>
      <w:r>
        <w:rPr>
          <w:b w:val="0"/>
          <w:i w:val="0"/>
          <w:sz w:val="20"/>
        </w:rPr>
        <w:t>Ευρωπαϊκό προφίλ μεταδεδομένων για καταλόγους δεδομένων· επιτρέπει την εύρεση συνόλων δεδομένων και σε εθνικές και ευρωπαϊκές πύλες.</w:t>
      </w:r>
    </w:p>
    <w:p>
      <w:pPr>
        <w:spacing w:before="40" w:after="120"/>
      </w:pPr>
      <w:r>
        <w:rPr>
          <w:b/>
          <w:i w:val="0"/>
          <w:color w:val="2F3F9E"/>
          <w:sz w:val="20"/>
        </w:rPr>
        <w:t xml:space="preserve">EPSG  —  </w:t>
      </w:r>
      <w:r>
        <w:rPr>
          <w:b w:val="0"/>
          <w:i w:val="0"/>
          <w:sz w:val="20"/>
        </w:rPr>
        <w:t>Μητρώο αριθμητικών κωδικών για συστήματα αναφοράς συντεταγμένων (π.χ. EPSG:4326 για το WGS 84).</w:t>
      </w:r>
    </w:p>
    <w:p>
      <w:pPr>
        <w:spacing w:before="40" w:after="120"/>
      </w:pPr>
      <w:r>
        <w:rPr>
          <w:b/>
          <w:i w:val="0"/>
          <w:color w:val="2F3F9E"/>
          <w:sz w:val="20"/>
        </w:rPr>
        <w:t xml:space="preserve">Αναγνωριστικό  —  </w:t>
      </w:r>
      <w:r>
        <w:rPr>
          <w:b w:val="0"/>
          <w:i w:val="0"/>
          <w:sz w:val="20"/>
        </w:rPr>
        <w:t>Ένα μόνιμο όνομα για ένα πράγμα (ένα φωτιστικό, ένα κτίριο) που χρησιμοποιούν όλα τα συστήματα για να αναφερθούν σε αυτό.</w:t>
      </w:r>
    </w:p>
    <w:p>
      <w:pPr>
        <w:spacing w:before="40" w:after="120"/>
      </w:pPr>
      <w:r>
        <w:rPr>
          <w:b/>
          <w:i w:val="0"/>
          <w:color w:val="2F3F9E"/>
          <w:sz w:val="20"/>
        </w:rPr>
        <w:t xml:space="preserve">Διαλειτουργικότητα  —  </w:t>
      </w:r>
      <w:r>
        <w:rPr>
          <w:b w:val="0"/>
          <w:i w:val="0"/>
          <w:sz w:val="20"/>
        </w:rPr>
        <w:t>Η ικανότητα συστημάτων από διαφορετικούς παρόχους να ανταλλάσσουν δεδομένα και να τα κατανοούν.</w:t>
      </w:r>
    </w:p>
    <w:p>
      <w:pPr>
        <w:spacing w:before="40" w:after="120"/>
      </w:pPr>
      <w:r>
        <w:rPr>
          <w:b/>
          <w:i w:val="0"/>
          <w:color w:val="2F3F9E"/>
          <w:sz w:val="20"/>
        </w:rPr>
        <w:t xml:space="preserve">IRI  —  </w:t>
      </w:r>
      <w:r>
        <w:rPr>
          <w:b w:val="0"/>
          <w:i w:val="0"/>
          <w:sz w:val="20"/>
        </w:rPr>
        <w:t>Διεθνοποιημένη μορφή διαδικτυακού αναγνωριστικού (όπως ένα URL, με δυνατότητα χαρακτήρων εκτός ASCII). Ο MIM1 ονομάζει οντότητες με αυτό.</w:t>
      </w:r>
    </w:p>
    <w:p>
      <w:pPr>
        <w:spacing w:before="40" w:after="120"/>
      </w:pPr>
      <w:r>
        <w:rPr>
          <w:b/>
          <w:i w:val="0"/>
          <w:color w:val="2F3F9E"/>
          <w:sz w:val="20"/>
        </w:rPr>
        <w:t xml:space="preserve">LDT  —  </w:t>
      </w:r>
      <w:r>
        <w:rPr>
          <w:b w:val="0"/>
          <w:i w:val="0"/>
          <w:sz w:val="20"/>
        </w:rPr>
        <w:t>Τοπικό Ψηφιακό Δίδυμο: ένα ψηφιακό μοντέλο μιας πόλης ή τμήματός της, συνδεδεμένο με δεδομένα και προσομοιώσεις.</w:t>
      </w:r>
    </w:p>
    <w:p>
      <w:pPr>
        <w:spacing w:before="40" w:after="120"/>
      </w:pPr>
      <w:r>
        <w:rPr>
          <w:b/>
          <w:i w:val="0"/>
          <w:color w:val="2F3F9E"/>
          <w:sz w:val="20"/>
        </w:rPr>
        <w:t xml:space="preserve">Μηχαναγνώσιμο  —  </w:t>
      </w:r>
      <w:r>
        <w:rPr>
          <w:b w:val="0"/>
          <w:i w:val="0"/>
          <w:sz w:val="20"/>
        </w:rPr>
        <w:t>Δομημένο ώστε ένα πρόγραμμα να μπορεί να το επεξεργαστεί απευθείας (JSON, CSV) — ένα PDF ενός πίνακα δεν είναι.</w:t>
      </w:r>
    </w:p>
    <w:p>
      <w:pPr>
        <w:spacing w:before="40" w:after="120"/>
      </w:pPr>
      <w:r>
        <w:rPr>
          <w:b/>
          <w:i w:val="0"/>
          <w:color w:val="2F3F9E"/>
          <w:sz w:val="20"/>
        </w:rPr>
        <w:t xml:space="preserve">Μεταδεδομένα  —  </w:t>
      </w:r>
      <w:r>
        <w:rPr>
          <w:b w:val="0"/>
          <w:i w:val="0"/>
          <w:sz w:val="20"/>
        </w:rPr>
        <w:t>Δεδομένα σχετικά με δεδομένα: τι περιέχει ένα σύνολο δεδομένων, ποιος το παρέχει, πόσο πρόσφατο είναι, υπό ποια άδεια.</w:t>
      </w:r>
    </w:p>
    <w:p>
      <w:pPr>
        <w:spacing w:before="40" w:after="120"/>
      </w:pPr>
      <w:r>
        <w:rPr>
          <w:b/>
          <w:i w:val="0"/>
          <w:color w:val="2F3F9E"/>
          <w:sz w:val="20"/>
        </w:rPr>
        <w:t xml:space="preserve">OAuth 2.0 / OIDC  —  </w:t>
      </w:r>
      <w:r>
        <w:rPr>
          <w:b w:val="0"/>
          <w:i w:val="0"/>
          <w:sz w:val="20"/>
        </w:rPr>
        <w:t>Ανοικτά πρότυπα για σύνδεση και παραχώρηση πρόσβασης. Το OpenID Connect (OIDC) προσθέτει επαλήθευση ταυτότητας στο OAuth 2.0.</w:t>
      </w:r>
    </w:p>
    <w:p>
      <w:pPr>
        <w:spacing w:before="40" w:after="120"/>
      </w:pPr>
      <w:r>
        <w:rPr>
          <w:b/>
          <w:i w:val="0"/>
          <w:color w:val="2F3F9E"/>
          <w:sz w:val="20"/>
        </w:rPr>
        <w:t xml:space="preserve">OGC  —  </w:t>
      </w:r>
      <w:r>
        <w:rPr>
          <w:b w:val="0"/>
          <w:i w:val="0"/>
          <w:sz w:val="20"/>
        </w:rPr>
        <w:t>Open Geospatial Consortium: ο οργανισμός που εκδίδει πρότυπα για γεωχωρικά δεδομένα και υπηρεσίες (OGC API, WFS, SensorThings).</w:t>
      </w:r>
    </w:p>
    <w:p>
      <w:pPr>
        <w:spacing w:before="40" w:after="120"/>
      </w:pPr>
      <w:r>
        <w:rPr>
          <w:b/>
          <w:i w:val="0"/>
          <w:color w:val="2F3F9E"/>
          <w:sz w:val="20"/>
        </w:rPr>
        <w:t xml:space="preserve">Ανοικτό πρότυπο  —  </w:t>
      </w:r>
      <w:r>
        <w:rPr>
          <w:b w:val="0"/>
          <w:i w:val="0"/>
          <w:sz w:val="20"/>
        </w:rPr>
        <w:t>Ένας τεχνικός κανόνας που ο καθένας μπορεί να διαβάσει και να εφαρμόσει δωρεάν και χωρίς ειδική άδεια.</w:t>
      </w:r>
    </w:p>
    <w:p>
      <w:pPr>
        <w:spacing w:before="40" w:after="120"/>
      </w:pPr>
      <w:r>
        <w:rPr>
          <w:b/>
          <w:i w:val="0"/>
          <w:color w:val="2F3F9E"/>
          <w:sz w:val="20"/>
        </w:rPr>
        <w:t xml:space="preserve">OpenAPI  —  </w:t>
      </w:r>
      <w:r>
        <w:rPr>
          <w:b w:val="0"/>
          <w:i w:val="0"/>
          <w:sz w:val="20"/>
        </w:rPr>
        <w:t>Ανοικτή μορφή για μηχαναγνώσιμη περιγραφή ενός διαδικτυακού API: διευθύνσεις, παράμετροι, αποκρίσεις.</w:t>
      </w:r>
    </w:p>
    <w:p>
      <w:pPr>
        <w:spacing w:before="40" w:after="120"/>
      </w:pPr>
      <w:r>
        <w:rPr>
          <w:b/>
          <w:i w:val="0"/>
          <w:color w:val="2F3F9E"/>
          <w:sz w:val="20"/>
        </w:rPr>
        <w:t xml:space="preserve">Σειριοποίηση  —  </w:t>
      </w:r>
      <w:r>
        <w:rPr>
          <w:b w:val="0"/>
          <w:i w:val="0"/>
          <w:sz w:val="20"/>
        </w:rPr>
        <w:t>Η εγγραφή δεδομένων σε μια συγκεκριμένη μορφή (π.χ. JSON, XML) ώστε να μπορούν να αποθηκευτούν ή να μεταδοθούν.</w:t>
      </w:r>
    </w:p>
    <w:p>
      <w:pPr>
        <w:spacing w:before="40" w:after="120"/>
      </w:pPr>
      <w:r>
        <w:rPr>
          <w:b/>
          <w:i w:val="0"/>
          <w:color w:val="2F3F9E"/>
          <w:sz w:val="20"/>
        </w:rPr>
        <w:t xml:space="preserve">TLS  —  </w:t>
      </w:r>
      <w:r>
        <w:rPr>
          <w:b w:val="0"/>
          <w:i w:val="0"/>
          <w:sz w:val="20"/>
        </w:rPr>
        <w:t>Το πρωτόκολλο που κρυπτογραφεί δεδομένα κατά τη μεταφορά σε ένα δίκτυο (η βάση του HTTPS).</w:t>
      </w:r>
    </w:p>
    <w:p>
      <w:pPr>
        <w:spacing w:before="40" w:after="120"/>
      </w:pPr>
      <w:r>
        <w:rPr>
          <w:b/>
          <w:i w:val="0"/>
          <w:color w:val="2F3F9E"/>
          <w:sz w:val="20"/>
        </w:rPr>
        <w:t xml:space="preserve">Εγκλωβισμός σε προμηθευτή  —  </w:t>
      </w:r>
      <w:r>
        <w:rPr>
          <w:b w:val="0"/>
          <w:i w:val="0"/>
          <w:sz w:val="20"/>
        </w:rPr>
        <w:t>Μια κατάσταση κατά την οποία το κόστος των δεδομένων, των μορφοτύπων ή των τελών καθιστά την αλλαγή προμηθευτή πρακτικά αδύνατη.</w:t>
      </w:r>
    </w:p>
    <w:p>
      <w:pPr>
        <w:spacing w:before="40" w:after="120"/>
      </w:pPr>
      <w:r>
        <w:rPr>
          <w:b/>
          <w:i w:val="0"/>
          <w:color w:val="2F3F9E"/>
          <w:sz w:val="20"/>
        </w:rPr>
        <w:t xml:space="preserve">Webhook / MQTT  —  </w:t>
      </w:r>
      <w:r>
        <w:rPr>
          <w:b w:val="0"/>
          <w:i w:val="0"/>
          <w:sz w:val="20"/>
        </w:rPr>
        <w:t>Δύο τρόποι ώστε ένα σύστημα να αναφέρει μια αλλαγή από μόνο του: ένα webhook καλεί τη διεύθυνσή σας, το MQTT παραδίδει μηνύματα σε συνδρομητές.</w:t>
      </w:r>
    </w:p>
    <w:p>
      <w:pPr>
        <w:spacing w:before="240" w:after="120"/>
      </w:pPr>
      <w:r>
        <w:rPr>
          <w:b/>
          <w:i w:val="0"/>
          <w:color w:val="0B7485"/>
          <w:sz w:val="24"/>
        </w:rPr>
        <w:t>Πού μπορείτε να μάθετε περισσότερα</w:t>
      </w:r>
    </w:p>
    <w:p>
      <w:pPr>
        <w:spacing w:before="40" w:after="100"/>
      </w:pPr>
      <w:hyperlink r:id="rId20">
        <w:r>
          <w:rPr>
            <w:color w:val="2F3F9E"/>
            <w:u w:val="single"/>
            <w:sz w:val="20"/>
          </w:rPr>
          <w:t>mims.oascities.org</w:t>
        </w:r>
      </w:hyperlink>
      <w:r>
        <w:rPr>
          <w:b w:val="0"/>
          <w:i w:val="0"/>
          <w:sz w:val="20"/>
        </w:rPr>
        <w:t xml:space="preserve">  —  Η πλήρης προδιαγραφή MIMs Plus, που διατηρείται από τον OASC.</w:t>
      </w:r>
    </w:p>
    <w:p>
      <w:pPr>
        <w:spacing w:before="40" w:after="100"/>
      </w:pPr>
      <w:hyperlink r:id="rId21">
        <w:r>
          <w:rPr>
            <w:color w:val="2F3F9E"/>
            <w:u w:val="single"/>
            <w:sz w:val="20"/>
          </w:rPr>
          <w:t>living-in.eu</w:t>
        </w:r>
      </w:hyperlink>
      <w:r>
        <w:rPr>
          <w:b w:val="0"/>
          <w:i w:val="0"/>
          <w:sz w:val="20"/>
        </w:rPr>
        <w:t xml:space="preserve">  —  Το ευρωπαϊκό κίνημα για τον ψηφιακό μετασχηματισμό των πόλεων — διακήρυξη και πλαίσιο MIMs Plus.</w:t>
      </w:r>
    </w:p>
    <w:p>
      <w:pPr>
        <w:spacing w:before="40" w:after="100"/>
      </w:pPr>
      <w:hyperlink r:id="rId22">
        <w:r>
          <w:rPr>
            <w:color w:val="2F3F9E"/>
            <w:u w:val="single"/>
            <w:sz w:val="20"/>
          </w:rPr>
          <w:t>smartdatamodels.org</w:t>
        </w:r>
      </w:hyperlink>
      <w:r>
        <w:rPr>
          <w:b w:val="0"/>
          <w:i w:val="0"/>
          <w:sz w:val="20"/>
        </w:rPr>
        <w:t xml:space="preserve">  —  Η ανοικτή βιβλιοθήκη τυποποιημένων μοντέλων δεδομένων (FIWARE, TM Forum, IUDX, OASC).</w:t>
      </w:r>
    </w:p>
    <w:p>
      <w:pPr>
        <w:spacing w:before="40" w:after="100"/>
      </w:pPr>
      <w:hyperlink r:id="rId23">
        <w:r>
          <w:rPr>
            <w:color w:val="2F3F9E"/>
            <w:u w:val="single"/>
            <w:sz w:val="20"/>
          </w:rPr>
          <w:t>oascities.org/academy</w:t>
        </w:r>
      </w:hyperlink>
      <w:r>
        <w:rPr>
          <w:b w:val="0"/>
          <w:i w:val="0"/>
          <w:sz w:val="20"/>
        </w:rPr>
        <w:t xml:space="preserve">  —  CITYxCITY Academy — μαθήματα για στελέχη δήμων, από δήμους.</w:t>
      </w:r>
    </w:p>
    <w:p>
      <w:r>
        <w:br w:type="page"/>
      </w:r>
    </w:p>
    <w:p>
      <w:pPr>
        <w:spacing w:before="480" w:after="80"/>
        <w:jc w:val="center"/>
      </w:pPr>
      <w:r>
        <w:rPr>
          <w:b w:val="0"/>
          <w:i w:val="0"/>
          <w:color w:val="646B82"/>
          <w:sz w:val="18"/>
        </w:rPr>
        <w:t>Συντάχθηκε από την Προδιαγραφή MIMs Plus 9.0 του Open &amp; Agile Smart Cities (mims.oascities.org). Περιεχόμενο προδιαγραφής © OASC. Αυτό το φυλλάδιο είναι ένας ανεξάρτητος οδηγός σε απλή γλώσσα για δημοτικές προμήθειες· σε περίπτωση αμφιβολίας, υπερισχύει η προδιαγραφή.</w:t>
      </w:r>
    </w:p>
    <w:p>
      <w:pPr>
        <w:spacing w:before="40" w:after="80"/>
        <w:jc w:val="center"/>
      </w:pPr>
      <w:r>
        <w:rPr>
          <w:b w:val="0"/>
          <w:i w:val="0"/>
          <w:color w:val="0B7485"/>
          <w:sz w:val="18"/>
        </w:rPr>
        <w:t>Δημιουργήθηκε με ανοικτά εργαλεία. Επαναχρησιμοποιήστε και προσαρμόστε ελεύθερα για τον δήμο σας.</w:t>
      </w:r>
    </w:p>
    <w:p>
      <w:pPr>
        <w:spacing w:before="40" w:after="80"/>
        <w:jc w:val="center"/>
      </w:pPr>
      <w:r>
        <w:rPr>
          <w:b w:val="0"/>
          <w:i w:val="0"/>
          <w:color w:val="646B82"/>
          <w:sz w:val="17"/>
        </w:rPr>
        <w:t>Συγγραφέας του φυλλαδίου: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Ελάχιστοι Μηχανισμοί Διαλειτουργικότητας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Ελάχιστοι Μηχανισμοί Διαλειτουργικότητας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