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 Interoperability Mechanisms (MIMs)</w:t>
      </w:r>
    </w:p>
    <w:p>
      <w:pPr>
        <w:spacing w:before="40" w:after="320"/>
        <w:jc w:val="center"/>
      </w:pPr>
      <w:r>
        <w:rPr>
          <w:b/>
          <w:i w:val="0"/>
          <w:color w:val="0B7485"/>
          <w:sz w:val="30"/>
        </w:rPr>
        <w:t>Was Vergabeunterlagen vorgeben müssen, damit die Stadt die Kontrolle über ihre Daten behält</w:t>
      </w:r>
    </w:p>
    <w:p>
      <w:pPr>
        <w:spacing w:before="40" w:after="120"/>
        <w:jc w:val="center"/>
      </w:pPr>
      <w:r>
        <w:rPr>
          <w:b w:val="0"/>
          <w:i w:val="0"/>
          <w:color w:val="646B82"/>
          <w:sz w:val="22"/>
        </w:rPr>
        <w:t>Spezifikation: MIMs Plus 9.0 von OASC</w:t>
      </w:r>
    </w:p>
    <w:p>
      <w:pPr>
        <w:spacing w:before="40" w:after="80"/>
        <w:jc w:val="center"/>
      </w:pPr>
      <w:r>
        <w:rPr>
          <w:b w:val="0"/>
          <w:i w:val="0"/>
          <w:color w:val="646B82"/>
          <w:sz w:val="18"/>
        </w:rPr>
        <w:t>Für Beschaffungsverantwortliche, Projektleitende und IT-Leitungen europäischer Kommunen</w:t>
      </w:r>
    </w:p>
    <w:p>
      <w:pPr>
        <w:spacing w:before="40" w:after="80"/>
        <w:jc w:val="center"/>
      </w:pPr>
      <w:r>
        <w:rPr>
          <w:b w:val="0"/>
          <w:i w:val="0"/>
          <w:color w:val="646B82"/>
          <w:sz w:val="17"/>
        </w:rPr>
        <w:t>Autor des Leitfadens: Marek Mráz</w:t>
      </w:r>
    </w:p>
    <w:p>
      <w:r>
        <w:br w:type="page"/>
      </w:r>
    </w:p>
    <w:p>
      <w:pPr>
        <w:spacing w:before="120" w:after="160"/>
      </w:pPr>
      <w:r>
        <w:rPr>
          <w:b/>
          <w:i w:val="0"/>
          <w:color w:val="2F3F9E"/>
          <w:sz w:val="36"/>
        </w:rPr>
        <w:t>Zweck dieses Leitfadens</w:t>
      </w:r>
    </w:p>
    <w:p>
      <w:pPr>
        <w:spacing w:before="40" w:after="160"/>
      </w:pPr>
      <w:r>
        <w:rPr>
          <w:b w:val="0"/>
          <w:i w:val="0"/>
          <w:sz w:val="21"/>
        </w:rPr>
        <w:t>Jedes Jahr beschaffen Städte Software: Parkleitsysteme, Sensorplattformen, Geoportale, digitale Zwillinge. Zu oft bleiben die von diesen Systemen erfassten Daten darin eingesperrt. Endet der Vertrag, wandern die mit öffentlichen Geldern bezahlten Daten mit dem Anbieter ab oder verbleiben in einem Format, das niemand sonst lesen kann.</w:t>
      </w:r>
    </w:p>
    <w:p>
      <w:pPr>
        <w:spacing w:before="40" w:after="160"/>
      </w:pPr>
      <w:r>
        <w:rPr>
          <w:b w:val="0"/>
          <w:i w:val="0"/>
          <w:sz w:val="21"/>
        </w:rPr>
        <w:t>Das muss nicht so sein. Die Minimal Interoperability Mechanisms (MIMs), gepflegt von Open &amp; Agile Smart Cities (OASC) und unterstützt durch die europäische Bewegung living-in.eu, beschreiben die minimalen technischen Anforderungen, die Ihre Daten offen, wiederverwendbar und anbieterneutral halten. Sie sind bewusst schlank gehalten: keine umfassende Architektur, sondern nur die wenigen Bedingungen, die zwingend gelten müssen, damit Systeme Daten austauschen können.</w:t>
      </w:r>
    </w:p>
    <w:p>
      <w:pPr>
        <w:spacing w:before="40" w:after="160"/>
      </w:pPr>
      <w:r>
        <w:rPr>
          <w:b w:val="0"/>
          <w:i w:val="0"/>
          <w:sz w:val="21"/>
        </w:rPr>
        <w:t>Für die Nutzung dieses Leitfadens sind keine technischen Vorkenntnisse erforderlich. Jede Checkliste übersetzt einen MIM in verständliche Kriterien, die Sie in eine Ausschreibung übernehmen können – samt der Begründung, warum jedes Kriterium Sie schützt. Direkt nach der Checkliste finden Sie alle Anforderungen dieses MIM im Wortlaut, damit Ihre technischen Fachbereiche und Ihre Bieter die Details prüfen können.</w:t>
      </w:r>
    </w:p>
    <w:p>
      <w:pPr>
        <w:spacing w:before="40" w:after="160"/>
      </w:pPr>
      <w:r>
        <w:rPr>
          <w:b w:val="0"/>
          <w:i w:val="0"/>
          <w:sz w:val="21"/>
        </w:rPr>
        <w:t>Städte, welche die MIMs fordern, investieren einmal und nutzen Daten vielfach: Luftqualitätsdaten speisen das Schul-Dashboard, das Kataster der Straßenbeleuchtung fließt in die Energieplanung ein und das Nachfolgeunternehmen knüpft nahtlos dort an, wo der vorherige Auftragnehmer aufgehört hat. Das bedeutet Interoperabilität in der Praxis – und genau das wird in EU-geförderten Projekten zunehmend vorausgesetzt.</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“Die Minimal Interoperability Mechanisms (MIMs) ermöglichen ein minimales, aber ausreichendes Maß an Interoperabilität für Daten, Systeme und Dienste, speziell im Kontext von Smart-City-Lösungen.</w:t>
              <w:br/>
              <w:t>Der vorgesehene Adressatenkreis für dieses Dokument umfasst:</w:t>
              <w:br/>
              <w:t>1. Lösungsanbieter, die sicherstellen möchten, dass ihre Lösungen mit anderen interoperabel sind und einen reibungslosen Datenaustausch im Kontext von Smart Cities and Communities ermöglichen.</w:t>
              <w:br/>
              <w:t>2. Beschaffer, die zukunftssichere Lösungen beschaffen möchten, die eine kosteneffiziente Integration in eine bestehende Informations- und Kommunikationstechnologie-(IKT-)Architektur für Smart Cities and Communities erlauben.”</w:t>
            </w:r>
          </w:p>
        </w:tc>
      </w:tr>
    </w:tbl>
    <w:p>
      <w:pPr>
        <w:spacing w:before="240" w:after="60"/>
      </w:pPr>
      <w:r>
        <w:rPr>
          <w:b/>
          <w:i w:val="0"/>
          <w:color w:val="2F3F9E"/>
          <w:sz w:val="22"/>
        </w:rPr>
        <w:t>Wie die MIMs zum EU-Recht passen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Die MIMs sind eine technische Spezifikation, kein Gesetz. Sie zielen in dieselbe Richtung wie die bereits für öffentliche Daten und digitale Dienste geltenden EU-Vorschriften:</w:t>
            </w:r>
          </w:p>
          <w:p>
            <w:pPr>
              <w:spacing w:before="20" w:after="60"/>
            </w:pPr>
            <w:r>
              <w:rPr>
                <w:b/>
                <w:i w:val="0"/>
                <w:color w:val="2F3F9E"/>
                <w:sz w:val="19"/>
              </w:rPr>
              <w:t>Vergaberichtlinie</w:t>
            </w:r>
            <w:r>
              <w:rPr>
                <w:b w:val="0"/>
                <w:i w:val="0"/>
                <w:color w:val="646B82"/>
                <w:sz w:val="17"/>
              </w:rPr>
              <w:t xml:space="preserve"> (Richtlinie 2014/24/EU, Artikel 42): </w:t>
            </w:r>
            <w:r>
              <w:rPr>
                <w:b w:val="0"/>
                <w:i w:val="0"/>
                <w:sz w:val="19"/>
              </w:rPr>
              <w:t>Technische Spezifikationen dürfen auf Normen verweisen, stets mit dem Zusatz „oder gleichwertig“; sie dürfen grundsätzlich keine bestimmten Fabrikate oder Erzeugnisse benennen.</w:t>
            </w:r>
          </w:p>
          <w:p>
            <w:pPr>
              <w:spacing w:before="20" w:after="60"/>
            </w:pPr>
            <w:r>
              <w:rPr>
                <w:b/>
                <w:i w:val="0"/>
                <w:color w:val="2F3F9E"/>
                <w:sz w:val="19"/>
              </w:rPr>
              <w:t>Data Act (Daten-VO)</w:t>
            </w:r>
            <w:r>
              <w:rPr>
                <w:b w:val="0"/>
                <w:i w:val="0"/>
                <w:color w:val="646B82"/>
                <w:sz w:val="17"/>
              </w:rPr>
              <w:t xml:space="preserve"> (Verordnung (EU) 2023/2854): </w:t>
            </w:r>
            <w:r>
              <w:rPr>
                <w:b w:val="0"/>
                <w:i w:val="0"/>
                <w:sz w:val="19"/>
              </w:rPr>
              <w:t>Zugang zu Daten aus vernetzten Produkten und Wechsel zwischen Cloud-Diensten ohne Lock-in-Effekte.</w:t>
            </w:r>
          </w:p>
          <w:p>
            <w:pPr>
              <w:spacing w:before="20" w:after="60"/>
            </w:pPr>
            <w:r>
              <w:rPr>
                <w:b/>
                <w:i w:val="0"/>
                <w:color w:val="2F3F9E"/>
                <w:sz w:val="19"/>
              </w:rPr>
              <w:t>Verordnung für ein interoperables Europa</w:t>
            </w:r>
            <w:r>
              <w:rPr>
                <w:b w:val="0"/>
                <w:i w:val="0"/>
                <w:color w:val="646B82"/>
                <w:sz w:val="17"/>
              </w:rPr>
              <w:t xml:space="preserve"> (Verordnung (EU) 2024/903): </w:t>
            </w:r>
            <w:r>
              <w:rPr>
                <w:b w:val="0"/>
                <w:i w:val="0"/>
                <w:sz w:val="19"/>
              </w:rPr>
              <w:t>Interoperabilitätsbewertungen für grenzüberschreitende digitale öffentliche Dienste und Wiederverwendung offener Lösungen.</w:t>
            </w:r>
          </w:p>
          <w:p>
            <w:pPr>
              <w:spacing w:before="20" w:after="60"/>
            </w:pPr>
            <w:r>
              <w:rPr>
                <w:b/>
                <w:i w:val="0"/>
                <w:color w:val="2F3F9E"/>
                <w:sz w:val="19"/>
              </w:rPr>
              <w:t>Open-Data-Richtlinie</w:t>
            </w:r>
            <w:r>
              <w:rPr>
                <w:b w:val="0"/>
                <w:i w:val="0"/>
                <w:color w:val="646B82"/>
                <w:sz w:val="17"/>
              </w:rPr>
              <w:t xml:space="preserve"> (Richtlinie (EU) 2019/1024): </w:t>
            </w:r>
            <w:r>
              <w:rPr>
                <w:b w:val="0"/>
                <w:i w:val="0"/>
                <w:sz w:val="19"/>
              </w:rPr>
              <w:t>Kostenfreie Bereitstellung hochwertiger Datensätze in maschinenlesbaren Formaten über Programmierschnittstellen (APIs).</w:t>
            </w:r>
          </w:p>
          <w:p>
            <w:pPr>
              <w:spacing w:before="20" w:after="60"/>
            </w:pPr>
            <w:r>
              <w:rPr>
                <w:b/>
                <w:i w:val="0"/>
                <w:color w:val="2F3F9E"/>
                <w:sz w:val="19"/>
              </w:rPr>
              <w:t>NIS-2-Richtlinie</w:t>
            </w:r>
            <w:r>
              <w:rPr>
                <w:b w:val="0"/>
                <w:i w:val="0"/>
                <w:color w:val="646B82"/>
                <w:sz w:val="17"/>
              </w:rPr>
              <w:t xml:space="preserve"> (Richtlinie (EU) 2022/2555): </w:t>
            </w:r>
            <w:r>
              <w:rPr>
                <w:b w:val="0"/>
                <w:i w:val="0"/>
                <w:sz w:val="19"/>
              </w:rPr>
              <w:t>Ein Mindestniveau für Cybersicherheit; das jeweilige nationale Recht bestimmt, inwieweit die Kommunalverwaltung erfasst ist.</w:t>
            </w:r>
          </w:p>
          <w:p>
            <w:pPr>
              <w:spacing w:before="20" w:after="60"/>
            </w:pPr>
            <w:r>
              <w:rPr>
                <w:b/>
                <w:i w:val="0"/>
                <w:color w:val="2F3F9E"/>
                <w:sz w:val="19"/>
              </w:rPr>
              <w:t>DSGVO</w:t>
            </w:r>
            <w:r>
              <w:rPr>
                <w:b w:val="0"/>
                <w:i w:val="0"/>
                <w:color w:val="646B82"/>
                <w:sz w:val="17"/>
              </w:rPr>
              <w:t xml:space="preserve"> (Verordnung (EU) 2016/679): </w:t>
            </w:r>
            <w:r>
              <w:rPr>
                <w:b w:val="0"/>
                <w:i w:val="0"/>
                <w:sz w:val="19"/>
              </w:rPr>
              <w:t>Personenbezogene Daten in kommunalen Systemen (Parkraumbewirtschaftung, Kameras, Mobilität).</w:t>
            </w:r>
          </w:p>
          <w:p>
            <w:pPr>
              <w:spacing w:before="20" w:after="60"/>
            </w:pPr>
            <w:r>
              <w:rPr>
                <w:b/>
                <w:i w:val="0"/>
                <w:color w:val="2F3F9E"/>
                <w:sz w:val="19"/>
              </w:rPr>
              <w:t>KI-Verordnung (AI Act)</w:t>
            </w:r>
            <w:r>
              <w:rPr>
                <w:b w:val="0"/>
                <w:i w:val="0"/>
                <w:color w:val="646B82"/>
                <w:sz w:val="17"/>
              </w:rPr>
              <w:t xml:space="preserve"> (Verordnung (EU) 2024/1689): </w:t>
            </w:r>
            <w:r>
              <w:rPr>
                <w:b w:val="0"/>
                <w:i w:val="0"/>
                <w:sz w:val="19"/>
              </w:rPr>
              <w:t>Vorschriften für Systeme künstlicher Intelligenz; relevant für KI-Modelle in digitalen Zwillingen.</w:t>
            </w:r>
          </w:p>
          <w:p>
            <w:pPr>
              <w:spacing w:before="20" w:after="60"/>
            </w:pPr>
            <w:r>
              <w:rPr>
                <w:b w:val="0"/>
                <w:i/>
                <w:color w:val="646B82"/>
                <w:sz w:val="17"/>
              </w:rPr>
              <w:t>Dient nur der Orientierung. Prüfen Sie die jeweilige nationale Umsetzung der Rechtsakte.</w:t>
            </w:r>
          </w:p>
        </w:tc>
      </w:tr>
    </w:tbl>
    <w:p>
      <w:r>
        <w:br w:type="page"/>
      </w:r>
    </w:p>
    <w:p>
      <w:pPr>
        <w:spacing w:before="120" w:after="160"/>
      </w:pPr>
      <w:r>
        <w:rPr>
          <w:b/>
          <w:i w:val="0"/>
          <w:color w:val="2F3F9E"/>
          <w:sz w:val="36"/>
        </w:rPr>
        <w:t>Nutzung dieses Leitfadens</w:t>
      </w:r>
    </w:p>
    <w:p>
      <w:pPr>
        <w:spacing w:before="40" w:after="120"/>
      </w:pPr>
      <w:r>
        <w:rPr>
          <w:b/>
          <w:i w:val="0"/>
          <w:color w:val="2F3F9E"/>
          <w:sz w:val="22"/>
        </w:rPr>
        <w:t xml:space="preserve">1. Vorbereiten  </w:t>
      </w:r>
      <w:r>
        <w:rPr>
          <w:b w:val="0"/>
          <w:i w:val="0"/>
          <w:sz w:val="20"/>
        </w:rPr>
        <w:t>Lesen Sie die sieben Checklisten durch. Wählen Sie jene aus, die auf Ihren Beschaffungsgegenstand zutreffen. Die meisten Vergabeverfahren erfordern MIM0, MIM1, MIM2 und MIM6; ergänzen Sie MIM3, wenn Daten mit Dritten oder über Datenportale geteilt werden, MIM7 bei Kartenbezug und MIM8 für digitale Zwillinge.</w:t>
      </w:r>
    </w:p>
    <w:p>
      <w:pPr>
        <w:spacing w:before="40" w:after="120"/>
      </w:pPr>
      <w:r>
        <w:rPr>
          <w:b/>
          <w:i w:val="0"/>
          <w:color w:val="2F3F9E"/>
          <w:sz w:val="22"/>
        </w:rPr>
        <w:t xml:space="preserve">2. Ausschreiben  </w:t>
      </w:r>
      <w:r>
        <w:rPr>
          <w:b w:val="0"/>
          <w:i w:val="0"/>
          <w:sz w:val="20"/>
        </w:rPr>
        <w:t>Übertragen Sie die ausgewählten Kriterien in Ihre Leistungsbeschreibung. Jedes Kriterium ist als sofort übernehmbarer Satz formuliert. Fügen Sie die querschnittlichen Klauseln hinzu: Sie verursachen kaum Aufwand und verhindern Lock-in-Effekte.</w:t>
      </w:r>
    </w:p>
    <w:p>
      <w:pPr>
        <w:spacing w:before="40" w:after="120"/>
      </w:pPr>
      <w:r>
        <w:rPr>
          <w:b/>
          <w:i w:val="0"/>
          <w:color w:val="2F3F9E"/>
          <w:sz w:val="22"/>
        </w:rPr>
        <w:t xml:space="preserve">3. Bewerten  </w:t>
      </w:r>
      <w:r>
        <w:rPr>
          <w:b w:val="0"/>
          <w:i w:val="0"/>
          <w:sz w:val="20"/>
        </w:rPr>
        <w:t>Fordern Sie die Bieter auf, Nachweise vorzulegen statt Zusagen zu machen (siehe die Klausel dieses Namens). Prüfen Sie die Konformität anhand der vom Bieter ausgefüllten Konformitätstabelle.</w:t>
      </w:r>
    </w:p>
    <w:p>
      <w:pPr>
        <w:spacing w:before="40" w:after="120"/>
      </w:pPr>
      <w:r>
        <w:rPr>
          <w:b/>
          <w:i w:val="0"/>
          <w:color w:val="2F3F9E"/>
          <w:sz w:val="22"/>
        </w:rPr>
        <w:t xml:space="preserve">4. Abnehmen  </w:t>
      </w:r>
      <w:r>
        <w:rPr>
          <w:b w:val="0"/>
          <w:i w:val="0"/>
          <w:sz w:val="20"/>
        </w:rPr>
        <w:t>Prüfen Sie bei der Abnahme jeden ausgewählten Punkt erneut. Eine Anforderung, die bei der Lieferung nicht überprüft wird, war in der Praxis nie eine verbindliche Anforderung.</w:t>
      </w:r>
    </w:p>
    <w:p>
      <w:pPr>
        <w:spacing w:before="200" w:after="80"/>
      </w:pPr>
      <w:r>
        <w:rPr>
          <w:b/>
          <w:i w:val="0"/>
          <w:color w:val="0B7485"/>
          <w:sz w:val="22"/>
        </w:rPr>
        <w:t>Verständnis der Zitate aus der Spezifikation</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MUSS, MÜSSEN (SHALL / MUST)</w:t>
            </w:r>
            <w:r>
              <w:rPr>
                <w:b w:val="0"/>
                <w:i w:val="0"/>
                <w:sz w:val="19"/>
              </w:rPr>
              <w:t xml:space="preserve">  verbindlich. Ohne diese Eigenschaft ist das System nicht konform.</w:t>
            </w:r>
          </w:p>
          <w:p>
            <w:pPr>
              <w:spacing w:before="20" w:after="60"/>
            </w:pPr>
            <w:r>
              <w:rPr>
                <w:b/>
                <w:i w:val="0"/>
                <w:color w:val="2F3F9E"/>
                <w:sz w:val="19"/>
              </w:rPr>
              <w:t xml:space="preserve">•  </w:t>
            </w:r>
            <w:r>
              <w:rPr>
                <w:b/>
                <w:i w:val="0"/>
                <w:color w:val="2F3F9E"/>
                <w:sz w:val="19"/>
                <w:highlight w:val="yellow"/>
              </w:rPr>
              <w:t>DARF NICHT, DÜRFEN NICHT (MUST NOT)</w:t>
            </w:r>
            <w:r>
              <w:rPr>
                <w:b w:val="0"/>
                <w:i w:val="0"/>
                <w:sz w:val="19"/>
              </w:rPr>
              <w:t xml:space="preserve">  unzulässig. Ein System, das dies tut, ist nicht konform.</w:t>
            </w:r>
          </w:p>
          <w:p>
            <w:pPr>
              <w:spacing w:before="20" w:after="60"/>
            </w:pPr>
            <w:r>
              <w:rPr>
                <w:b/>
                <w:i w:val="0"/>
                <w:color w:val="2F3F9E"/>
                <w:sz w:val="19"/>
              </w:rPr>
              <w:t xml:space="preserve">•  </w:t>
            </w:r>
            <w:r>
              <w:rPr>
                <w:b/>
                <w:i w:val="0"/>
                <w:color w:val="2F3F9E"/>
                <w:sz w:val="19"/>
                <w:highlight w:val="yellow"/>
              </w:rPr>
              <w:t>SOLLTE, SOLLTEN (SHOULD)</w:t>
            </w:r>
            <w:r>
              <w:rPr>
                <w:b w:val="0"/>
                <w:i w:val="0"/>
                <w:sz w:val="19"/>
              </w:rPr>
              <w:t xml:space="preserve">  dringend empfohlen. Abweichungen erfordern eine stichhaltige schriftliche Begründung.</w:t>
            </w:r>
          </w:p>
          <w:p>
            <w:pPr>
              <w:spacing w:before="20" w:after="60"/>
            </w:pPr>
            <w:r>
              <w:rPr>
                <w:b/>
                <w:i w:val="0"/>
                <w:color w:val="2F3F9E"/>
                <w:sz w:val="19"/>
              </w:rPr>
              <w:t xml:space="preserve">•  </w:t>
            </w:r>
            <w:r>
              <w:rPr>
                <w:b/>
                <w:i w:val="0"/>
                <w:color w:val="2F3F9E"/>
                <w:sz w:val="19"/>
                <w:highlight w:val="yellow"/>
              </w:rPr>
              <w:t>KANN, KÖNNEN (MAY)</w:t>
            </w:r>
            <w:r>
              <w:rPr>
                <w:b w:val="0"/>
                <w:i w:val="0"/>
                <w:sz w:val="19"/>
              </w:rPr>
              <w:t xml:space="preserve">  optional. Wünschenswert, aber keinesfalls zwingend gefordert.</w:t>
            </w:r>
          </w:p>
          <w:p>
            <w:pPr>
              <w:spacing w:before="20" w:after="60"/>
            </w:pPr>
            <w:r>
              <w:rPr>
                <w:b/>
                <w:i w:val="0"/>
                <w:color w:val="2F3F9E"/>
                <w:sz w:val="19"/>
              </w:rPr>
              <w:t xml:space="preserve">•  </w:t>
            </w:r>
            <w:r>
              <w:rPr>
                <w:b/>
                <w:i w:val="0"/>
                <w:color w:val="2F3F9E"/>
                <w:sz w:val="19"/>
                <w:highlight w:val="yellow"/>
              </w:rPr>
              <w:t>KANN, KÖNNEN (CAN)</w:t>
            </w:r>
            <w:r>
              <w:rPr>
                <w:b w:val="0"/>
                <w:i w:val="0"/>
                <w:sz w:val="19"/>
              </w:rPr>
              <w:t xml:space="preserve">  eine Möglichkeit, keine Anforderung. Beschreibt, was machbar ist, ohne jemanden zu verpflichten.</w:t>
            </w:r>
          </w:p>
          <w:p>
            <w:pPr>
              <w:spacing w:before="20" w:after="60"/>
            </w:pPr>
            <w:r>
              <w:rPr>
                <w:b w:val="0"/>
                <w:i w:val="0"/>
                <w:sz w:val="19"/>
              </w:rPr>
              <w:t>Die Kriterien der Checkliste formulieren jeden Punkt als Anforderung, selbst wenn die Spezifikation eine Funktion nur empfiehlt (should) oder als Kandidatenmechanismus anführt. Dies obliegt der Entscheidung des öffentlichen Auftraggebers.</w:t>
            </w:r>
          </w:p>
        </w:tc>
      </w:tr>
    </w:tbl>
    <w:p>
      <w:pPr>
        <w:spacing w:before="160" w:after="80"/>
      </w:pPr>
      <w:r>
        <w:rPr>
          <w:b w:val="0"/>
          <w:i/>
          <w:color w:val="646B82"/>
          <w:sz w:val="18"/>
        </w:rPr>
        <w:t>Jedes Kriterium enthält einen kurzen Querverweis wie → MIM0 R1.1. Dies bezeichnet die Anforderung in MIMs Plus 9.0, aus der es hervorgeht; direkt nach jeder Checkliste finden Sie alle Anforderungen dieses MIM im Wortlaut. Nur MIM0 definiert diese Schlüsselwörter: Sie sind verbindlich, wenn sie in Großbuchstaben geschrieben sind (Konvention nach IETF RFC 2119 und RFC 8174; CAN entstammt den ISO/IEC Directives, Part 2). Die übrigen MIMs enthalten keine Begriffsbestimmung: MIM6 schreibt SHALL überwiegend in Großbuchstaben, während MIM2, MIM3, MIM7 und MIM8 shall, should und must in Kleinbuchstaben verwenden; MIM1 nutzt sie ausschließlich in der Beschreibung eines Mechanismus (MUST NOT in Abschnitt 3.1). Dieser Leitfaden versteht die kleingeschriebenen Wörter im gleichen Sinne; Bieter könnten sie unverbindlicher auslegen.</w:t>
      </w:r>
    </w:p>
    <w:p>
      <w:r>
        <w:br w:type="page"/>
      </w:r>
    </w:p>
    <w:p>
      <w:pPr>
        <w:spacing w:before="120" w:after="160"/>
      </w:pPr>
      <w:r>
        <w:rPr>
          <w:b/>
          <w:i w:val="0"/>
          <w:color w:val="2F3F9E"/>
          <w:sz w:val="36"/>
        </w:rPr>
        <w:t>Sieben MIMs und drei Werkzeuge</w:t>
      </w:r>
    </w:p>
    <w:p>
      <w:pPr>
        <w:spacing w:before="40" w:after="200"/>
      </w:pPr>
      <w:r>
        <w:rPr>
          <w:b w:val="0"/>
          <w:i w:val="0"/>
          <w:sz w:val="21"/>
        </w:rPr>
        <w:t>Sieben handhabbare Mechanismen, ein Ziel: Die Daten bleiben unter der Kontrolle der Stadt und die Systeme arbeiten zusammen.</w:t>
      </w:r>
    </w:p>
    <w:p>
      <w:pPr>
        <w:spacing w:before="40" w:after="20"/>
      </w:pPr>
      <w:r>
        <w:rPr>
          <w:b/>
          <w:i w:val="0"/>
          <w:color w:val="2F3F9E"/>
          <w:sz w:val="20"/>
        </w:rPr>
        <w:t xml:space="preserve">MIM0  </w:t>
      </w:r>
      <w:r>
        <w:rPr>
          <w:b/>
          <w:i w:val="0"/>
          <w:sz w:val="20"/>
        </w:rPr>
        <w:t>Datenzugriff</w:t>
      </w:r>
    </w:p>
    <w:p>
      <w:pPr>
        <w:spacing w:before="40" w:after="20"/>
      </w:pPr>
      <w:r>
        <w:rPr>
          <w:b/>
          <w:i w:val="0"/>
          <w:color w:val="0B7485"/>
          <w:sz w:val="19"/>
        </w:rPr>
        <w:t xml:space="preserve">Können wir unsere Daten exportieren?  </w:t>
      </w:r>
      <w:r>
        <w:rPr>
          <w:b w:val="0"/>
          <w:i w:val="0"/>
          <w:sz w:val="19"/>
        </w:rPr>
        <w:t>Daten sind über Standard-Web-APIs in maschinenlesbaren Formaten abrufbar.</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Datenverknüpfung</w:t>
      </w:r>
    </w:p>
    <w:p>
      <w:pPr>
        <w:spacing w:before="40" w:after="20"/>
      </w:pPr>
      <w:r>
        <w:rPr>
          <w:b/>
          <w:i w:val="0"/>
          <w:color w:val="0B7485"/>
          <w:sz w:val="19"/>
        </w:rPr>
        <w:t xml:space="preserve">Besitzt jedes Objekt eine dauerhafte Kennung?  </w:t>
      </w:r>
      <w:r>
        <w:rPr>
          <w:b w:val="0"/>
          <w:i w:val="0"/>
          <w:sz w:val="19"/>
        </w:rPr>
        <w:t>Jeder Sensor, jede Leuchte und jedes Gebäude besitzt einen eindeutigen, persistenten Identifikator.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Datenrepräsentation</w:t>
      </w:r>
    </w:p>
    <w:p>
      <w:pPr>
        <w:spacing w:before="40" w:after="20"/>
      </w:pPr>
      <w:r>
        <w:rPr>
          <w:b/>
          <w:i w:val="0"/>
          <w:color w:val="0B7485"/>
          <w:sz w:val="19"/>
        </w:rPr>
        <w:t xml:space="preserve">Sprechen wir eine gemeinsame Sprache?  </w:t>
      </w:r>
      <w:r>
        <w:rPr>
          <w:b w:val="0"/>
          <w:i w:val="0"/>
          <w:sz w:val="19"/>
        </w:rPr>
        <w:t>Daten folgen standardisierten, dokumentierten Datenmodellen mit expliziten Maßeinheiten.</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Datenaustausch</w:t>
      </w:r>
    </w:p>
    <w:p>
      <w:pPr>
        <w:spacing w:before="40" w:after="20"/>
      </w:pPr>
      <w:r>
        <w:rPr>
          <w:b/>
          <w:i w:val="0"/>
          <w:color w:val="0B7485"/>
          <w:sz w:val="19"/>
        </w:rPr>
        <w:t xml:space="preserve">Können wir zu klaren Bedingungen teilen?  </w:t>
      </w:r>
      <w:r>
        <w:rPr>
          <w:b w:val="0"/>
          <w:i w:val="0"/>
          <w:sz w:val="19"/>
        </w:rPr>
        <w:t>Datensätze sind katalogisiert und werden unter Standardlizenzen und klarer Governance geteilt.</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Datensicherheit</w:t>
      </w:r>
    </w:p>
    <w:p>
      <w:pPr>
        <w:spacing w:before="40" w:after="20"/>
      </w:pPr>
      <w:r>
        <w:rPr>
          <w:b/>
          <w:i w:val="0"/>
          <w:color w:val="0B7485"/>
          <w:sz w:val="19"/>
        </w:rPr>
        <w:t xml:space="preserve">Sind unsere Daten geschützt?  </w:t>
      </w:r>
      <w:r>
        <w:rPr>
          <w:b w:val="0"/>
          <w:i w:val="0"/>
          <w:sz w:val="19"/>
        </w:rPr>
        <w:t>Verschlüsselte Übertragung, Standard-Logins, rollenbasierte Rechte, Audit-Protokolle.</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Geodaten</w:t>
      </w:r>
    </w:p>
    <w:p>
      <w:pPr>
        <w:spacing w:before="40" w:after="20"/>
      </w:pPr>
      <w:r>
        <w:rPr>
          <w:b/>
          <w:i w:val="0"/>
          <w:color w:val="0B7485"/>
          <w:sz w:val="19"/>
        </w:rPr>
        <w:t xml:space="preserve">Funktioniert es auf einer Karte?  </w:t>
      </w:r>
      <w:r>
        <w:rPr>
          <w:b w:val="0"/>
          <w:i w:val="0"/>
          <w:sz w:val="19"/>
        </w:rPr>
        <w:t>Geodaten nutzen OGC-Schnittstellen, offene Formate und deklarierte Koordinatenreferenzsysteme.</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Lokale digitale Zwillinge</w:t>
      </w:r>
    </w:p>
    <w:p>
      <w:pPr>
        <w:spacing w:before="40" w:after="20"/>
      </w:pPr>
      <w:r>
        <w:rPr>
          <w:b/>
          <w:i w:val="0"/>
          <w:color w:val="0B7485"/>
          <w:sz w:val="19"/>
        </w:rPr>
        <w:t xml:space="preserve">Kann unser digitaler Zwilling wachsen?  </w:t>
      </w:r>
      <w:r>
        <w:rPr>
          <w:b w:val="0"/>
          <w:i w:val="0"/>
          <w:sz w:val="19"/>
        </w:rPr>
        <w:t>Daten, Modelle und Ergebnisse des Zwillings bleiben zugänglich, dokumentiert und nachnutzbar.</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Werkzeuge für Ihre Ausschreibung</w:t>
      </w:r>
    </w:p>
    <w:p>
      <w:pPr>
        <w:spacing w:before="40" w:after="20"/>
      </w:pPr>
      <w:r>
        <w:rPr>
          <w:b/>
          <w:i w:val="0"/>
          <w:color w:val="2F3F9E"/>
          <w:sz w:val="20"/>
        </w:rPr>
        <w:t>Querschnittliche Vertragsklauseln</w:t>
      </w:r>
    </w:p>
    <w:p>
      <w:pPr>
        <w:spacing w:before="40" w:after="120"/>
      </w:pPr>
      <w:r>
        <w:rPr>
          <w:b/>
          <w:i w:val="0"/>
          <w:color w:val="0B7485"/>
          <w:sz w:val="19"/>
        </w:rPr>
        <w:t xml:space="preserve">Was gehört in jeden Vertrag?  </w:t>
      </w:r>
      <w:r>
        <w:rPr>
          <w:b w:val="0"/>
          <w:i w:val="0"/>
          <w:sz w:val="19"/>
        </w:rPr>
        <w:t>Exit-Klausel, Datenrechte, API-Stabilität.</w:t>
      </w:r>
    </w:p>
    <w:p>
      <w:pPr>
        <w:spacing w:before="40" w:after="20"/>
      </w:pPr>
      <w:r>
        <w:rPr>
          <w:b/>
          <w:i w:val="0"/>
          <w:color w:val="2F3F9E"/>
          <w:sz w:val="20"/>
        </w:rPr>
        <w:t>Beispiel: Luftgütesensoren</w:t>
      </w:r>
    </w:p>
    <w:p>
      <w:pPr>
        <w:spacing w:before="40" w:after="120"/>
      </w:pPr>
      <w:r>
        <w:rPr>
          <w:b/>
          <w:i w:val="0"/>
          <w:color w:val="0B7485"/>
          <w:sz w:val="19"/>
        </w:rPr>
        <w:t xml:space="preserve">Wie sieht das in der Praxis aus?  </w:t>
      </w:r>
      <w:r>
        <w:rPr>
          <w:b w:val="0"/>
          <w:i w:val="0"/>
          <w:sz w:val="19"/>
        </w:rPr>
        <w:t>Zuordnung der Inhalte und Textbausteine zum Übernehmen.</w:t>
      </w:r>
    </w:p>
    <w:p>
      <w:pPr>
        <w:spacing w:before="40" w:after="20"/>
      </w:pPr>
      <w:r>
        <w:rPr>
          <w:b/>
          <w:i w:val="0"/>
          <w:color w:val="2F3F9E"/>
          <w:sz w:val="20"/>
        </w:rPr>
        <w:t>Konformitätstabelle</w:t>
      </w:r>
    </w:p>
    <w:p>
      <w:pPr>
        <w:spacing w:before="40" w:after="120"/>
      </w:pPr>
      <w:r>
        <w:rPr>
          <w:b/>
          <w:i w:val="0"/>
          <w:color w:val="0B7485"/>
          <w:sz w:val="19"/>
        </w:rPr>
        <w:t xml:space="preserve">Wie weist der Bieter die Erfüllung nach?  </w:t>
      </w:r>
      <w:r>
        <w:rPr>
          <w:b w:val="0"/>
          <w:i w:val="0"/>
          <w:sz w:val="19"/>
        </w:rPr>
        <w:t>Vom Bieter ausgefüllt, vom Gremium geprüft, als Anlage zum Vertrag.</w:t>
      </w:r>
    </w:p>
    <w:p>
      <w:pPr>
        <w:spacing w:before="80" w:after="80"/>
      </w:pPr>
      <w:r>
        <w:rPr>
          <w:b w:val="0"/>
          <w:i/>
          <w:color w:val="646B82"/>
          <w:sz w:val="18"/>
        </w:rPr>
        <w:t>Zur Nummerierung: MIMs Plus 9.0 definiert sieben Mechanismen mit den Ziffern 0, 1, 2, 3, 6, 7 und 8. MIM4 (personenbezogene Daten) und MIM5 (faire KI) stammen aus früheren OASC-Versionen und sind nicht Teil von 9.0. In diesem Leitfaden fehlt somit nichts.</w:t>
      </w:r>
    </w:p>
    <w:p>
      <w:r>
        <w:br w:type="page"/>
      </w:r>
    </w:p>
    <w:p>
      <w:pPr>
        <w:spacing w:before="120" w:after="40"/>
      </w:pPr>
      <w:r>
        <w:rPr>
          <w:b/>
          <w:i w:val="0"/>
          <w:color w:val="2F3F9E"/>
          <w:sz w:val="36"/>
        </w:rPr>
        <w:t>MIM0 · Können wir unsere Daten exportieren?</w:t>
      </w:r>
    </w:p>
    <w:p>
      <w:pPr>
        <w:spacing w:before="40" w:after="40"/>
      </w:pPr>
      <w:r>
        <w:rPr>
          <w:b w:val="0"/>
          <w:i w:val="0"/>
          <w:color w:val="646B82"/>
          <w:sz w:val="20"/>
        </w:rPr>
        <w:t xml:space="preserve">Datenzugriff   </w:t>
      </w:r>
      <w:hyperlink r:id="rId13">
        <w:r>
          <w:rPr>
            <w:color w:val="2F3F9E"/>
            <w:u w:val="single"/>
            <w:sz w:val="17.0"/>
          </w:rPr>
          <w:t>mims.oascities.org/accessing-data</w:t>
        </w:r>
      </w:hyperlink>
    </w:p>
    <w:p>
      <w:pPr>
        <w:spacing w:before="120" w:after="200"/>
      </w:pPr>
      <w:r>
        <w:rPr>
          <w:b w:val="0"/>
          <w:i w:val="0"/>
          <w:sz w:val="20"/>
        </w:rPr>
        <w:t>Das ist das Fundament. Wenn Daten das System nicht über eine Standardschnittstelle verlassen können, bleibt alles andere in dieser Broschüre reine Theorie. MIM0 verlangt eine Sache von jedem beschafften System: Die Daten müssen über das gewöhnliche Web in maschinenlesbarer Form erreichbar sein.</w:t>
      </w:r>
    </w:p>
    <w:p>
      <w:pPr>
        <w:spacing w:before="40" w:after="20"/>
      </w:pPr>
      <w:r>
        <w:rPr>
          <w:b/>
          <w:i w:val="0"/>
          <w:color w:val="2F3F9E"/>
          <w:sz w:val="22"/>
        </w:rPr>
        <w:t xml:space="preserve">☐  </w:t>
      </w:r>
      <w:r>
        <w:rPr>
          <w:b/>
          <w:i w:val="0"/>
          <w:color w:val="2F3F9E"/>
          <w:sz w:val="20"/>
        </w:rPr>
        <w:t xml:space="preserve">0.1  </w:t>
      </w:r>
      <w:r>
        <w:rPr>
          <w:b/>
          <w:i w:val="0"/>
          <w:sz w:val="20"/>
        </w:rPr>
        <w:t>Alle vom System erfassten oder erzeugten Daten sind in mindestens einem maschinenlesbaren Format (z. B. JSON, CSV) über eine Standard-Web-API abrufbar.</w:t>
      </w:r>
    </w:p>
    <w:p>
      <w:pPr>
        <w:spacing w:before="40" w:after="140"/>
      </w:pPr>
      <w:r>
        <w:rPr>
          <w:b w:val="0"/>
          <w:i/>
          <w:color w:val="646B82"/>
          <w:sz w:val="18"/>
        </w:rPr>
        <w:t xml:space="preserve">Ihr nächster Auftragnehmer – oder Ihr eigenes Personal – kann die Daten nutzen, ohne den Anbieter zu fragen.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Die API ist in einem offenen, maschinenlesbaren Dokument (beispielsweise OpenAPI) formal beschrieben und unter einer stabilen Adresse veröffentlicht.</w:t>
      </w:r>
    </w:p>
    <w:p>
      <w:pPr>
        <w:spacing w:before="40" w:after="140"/>
      </w:pPr>
      <w:r>
        <w:rPr>
          <w:b w:val="0"/>
          <w:i/>
          <w:color w:val="646B82"/>
          <w:sz w:val="18"/>
        </w:rPr>
        <w:t xml:space="preserve">Jeder Entwickler kann sich ohne kostenpflichtigen „Integrations-Workshop“ anbinden.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Daten können direkt in der API nach Zeit, Ort und Attributen gefiltert werden.</w:t>
      </w:r>
    </w:p>
    <w:p>
      <w:pPr>
        <w:spacing w:before="40" w:after="140"/>
      </w:pPr>
      <w:r>
        <w:rPr>
          <w:b w:val="0"/>
          <w:i/>
          <w:color w:val="646B82"/>
          <w:sz w:val="18"/>
        </w:rPr>
        <w:t xml:space="preserve">Sie rufen ab, was Sie brauchen, keinen nächtlichen Vollauszug.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Erfordert der Anwendungsfall Live-Daten, können Abnehmer Änderungen abonnieren (Webhooks, MQTT oder ähnlich), statt ständig abzufragen.</w:t>
      </w:r>
    </w:p>
    <w:p>
      <w:pPr>
        <w:spacing w:before="40" w:after="140"/>
      </w:pPr>
      <w:r>
        <w:rPr>
          <w:b w:val="0"/>
          <w:i/>
          <w:color w:val="646B82"/>
          <w:sz w:val="18"/>
        </w:rPr>
        <w:t xml:space="preserve">Echtzeit-Dashboards und Warnmeldungen werden machbar und kostengünstig.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Fehlerbehandlung, Caching und Ratenbegrenzungen folgen HTTP-Standardkonventionen und sind dokumentiert.</w:t>
      </w:r>
    </w:p>
    <w:p>
      <w:pPr>
        <w:spacing w:before="40" w:after="140"/>
      </w:pPr>
      <w:r>
        <w:rPr>
          <w:b w:val="0"/>
          <w:i/>
          <w:color w:val="646B82"/>
          <w:sz w:val="18"/>
        </w:rPr>
        <w:t xml:space="preserve">Integrationen schlagen erkennbar und behebbar fehl, nicht stillschweigend.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Von Ihnen bezahlte Daten bleiben nach Vertragsende nutzbar.</w:t>
            </w:r>
          </w:p>
          <w:p>
            <w:pPr>
              <w:spacing w:before="20" w:after="60"/>
            </w:pPr>
            <w:r>
              <w:rPr>
                <w:b/>
                <w:i w:val="0"/>
                <w:color w:val="2F3F9E"/>
                <w:sz w:val="18"/>
              </w:rPr>
              <w:t xml:space="preserve">•  </w:t>
            </w:r>
            <w:r>
              <w:rPr>
                <w:b w:val="0"/>
                <w:i w:val="0"/>
                <w:sz w:val="18"/>
              </w:rPr>
              <w:t>Neue Dienste bauen auf vorhandenen Daten auf, statt bei null anzufangen.</w:t>
            </w:r>
          </w:p>
          <w:p>
            <w:pPr>
              <w:spacing w:before="20" w:after="60"/>
            </w:pPr>
            <w:r>
              <w:rPr>
                <w:b/>
                <w:i w:val="0"/>
                <w:color w:val="2F3F9E"/>
                <w:sz w:val="18"/>
              </w:rPr>
              <w:t xml:space="preserve">•  </w:t>
            </w:r>
            <w:r>
              <w:rPr>
                <w:b w:val="0"/>
                <w:i w:val="0"/>
                <w:sz w:val="18"/>
              </w:rPr>
              <w:t>Die Integrationskosten sinken für jedes Folgeprojekt.</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„Datenexport auf Anfrage über unser Support-Team.“</w:t>
            </w:r>
          </w:p>
          <w:p>
            <w:pPr>
              <w:spacing w:before="20" w:after="60"/>
            </w:pPr>
            <w:r>
              <w:rPr>
                <w:b/>
                <w:i w:val="0"/>
                <w:color w:val="A02020"/>
                <w:sz w:val="18"/>
              </w:rPr>
              <w:t xml:space="preserve">•  </w:t>
            </w:r>
            <w:r>
              <w:rPr>
                <w:b w:val="0"/>
                <w:i w:val="0"/>
                <w:sz w:val="18"/>
              </w:rPr>
              <w:t>„Die API ist als kostenpflichtiges Zusatzmodul erhältlich.“</w:t>
            </w:r>
          </w:p>
          <w:p>
            <w:pPr>
              <w:spacing w:before="20" w:after="60"/>
            </w:pPr>
            <w:r>
              <w:rPr>
                <w:b/>
                <w:i w:val="0"/>
                <w:color w:val="A02020"/>
                <w:sz w:val="18"/>
              </w:rPr>
              <w:t xml:space="preserve">•  </w:t>
            </w:r>
            <w:r>
              <w:rPr>
                <w:b w:val="0"/>
                <w:i w:val="0"/>
                <w:sz w:val="18"/>
              </w:rPr>
              <w:t>Preise pro Abfrage für die eigenen Daten der Stadt (siehe die Klausel „Keine Gebühren für eigene Daten“).</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Maschinenlesbare Daten sind über das Web abrufbar</w:t>
            </w:r>
          </w:p>
        </w:tc>
        <w:tc>
          <w:tcPr>
            <w:tcW w:type="dxa" w:w="4422"/>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4422"/>
          </w:tcPr>
          <w:p>
            <w:r>
              <w:rPr>
                <w:b w:val="0"/>
                <w:i w:val="0"/>
                <w:sz w:val="16"/>
              </w:rPr>
              <w:t>Systeme MÜSSEN den Abruf von Daten in mindestens einem maschinenlesbaren Format ermöglichen. Formate KÖNNEN über HTTP-Content-Negotiation festgelegt werden.</w:t>
            </w:r>
          </w:p>
        </w:tc>
        <w:tc>
          <w:tcPr>
            <w:tcW w:type="dxa" w:w="4422"/>
          </w:tcPr>
          <w:p>
            <w:r>
              <w:rPr>
                <w:b w:val="0"/>
                <w:i w:val="0"/>
                <w:color w:val="646B82"/>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4422"/>
          </w:tcPr>
          <w:p>
            <w:r>
              <w:rPr>
                <w:b w:val="0"/>
                <w:i w:val="0"/>
                <w:sz w:val="16"/>
              </w:rPr>
              <w:t>Daten MÜSSEN über mindestens einen standardisierten webbasierten Mechanismus abrufbar sein.</w:t>
            </w:r>
          </w:p>
        </w:tc>
        <w:tc>
          <w:tcPr>
            <w:tcW w:type="dxa" w:w="4422"/>
          </w:tcPr>
          <w:p>
            <w:r>
              <w:rPr>
                <w:b w:val="0"/>
                <w:i w:val="0"/>
                <w:color w:val="646B82"/>
                <w:sz w:val="16"/>
              </w:rPr>
              <w:t>Data SHALL be retrievable via at least one standard web-based mechanism</w:t>
            </w:r>
          </w:p>
        </w:tc>
      </w:tr>
      <w:tr>
        <w:tc>
          <w:tcPr>
            <w:tcW w:type="dxa" w:w="794"/>
          </w:tcPr>
          <w:p>
            <w:r>
              <w:rPr>
                <w:b/>
                <w:i w:val="0"/>
                <w:color w:val="0B7485"/>
                <w:sz w:val="16"/>
              </w:rPr>
              <w:t>R1.3</w:t>
            </w:r>
          </w:p>
        </w:tc>
        <w:tc>
          <w:tcPr>
            <w:tcW w:type="dxa" w:w="4422"/>
          </w:tcPr>
          <w:p>
            <w:r>
              <w:rPr>
                <w:b w:val="0"/>
                <w:i w:val="0"/>
                <w:sz w:val="16"/>
              </w:rPr>
              <w:t>Zugriffsmechanismen MÜSSEN formal beschrieben sein.</w:t>
            </w:r>
          </w:p>
        </w:tc>
        <w:tc>
          <w:tcPr>
            <w:tcW w:type="dxa" w:w="4422"/>
          </w:tcPr>
          <w:p>
            <w:r>
              <w:rPr>
                <w:b w:val="0"/>
                <w:i w:val="0"/>
                <w:color w:val="646B82"/>
                <w:sz w:val="16"/>
              </w:rPr>
              <w:t>Access mechanism(s) SHALL be formally described</w:t>
            </w:r>
          </w:p>
        </w:tc>
      </w:tr>
      <w:tr>
        <w:tc>
          <w:tcPr>
            <w:tcW w:type="dxa" w:w="794"/>
          </w:tcPr>
          <w:p>
            <w:r>
              <w:rPr>
                <w:b/>
                <w:i w:val="0"/>
                <w:color w:val="0B7485"/>
                <w:sz w:val="16"/>
              </w:rPr>
              <w:t>R1.4</w:t>
            </w:r>
          </w:p>
        </w:tc>
        <w:tc>
          <w:tcPr>
            <w:tcW w:type="dxa" w:w="4422"/>
          </w:tcPr>
          <w:p>
            <w:r>
              <w:rPr>
                <w:b w:val="0"/>
                <w:i w:val="0"/>
                <w:sz w:val="16"/>
              </w:rPr>
              <w:t>Von Payloads verwendete Datenmodelle sollten spezifiziert werden (siehe MIM2).</w:t>
            </w:r>
          </w:p>
        </w:tc>
        <w:tc>
          <w:tcPr>
            <w:tcW w:type="dxa" w:w="4422"/>
          </w:tcPr>
          <w:p>
            <w:r>
              <w:rPr>
                <w:b w:val="0"/>
                <w:i w:val="0"/>
                <w:color w:val="646B82"/>
                <w:sz w:val="16"/>
              </w:rPr>
              <w:t>Data Models used by payloads should be specified (see MIM2)</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Der Zugriff ist strukturiert und abfragbar</w:t>
            </w:r>
          </w:p>
        </w:tc>
        <w:tc>
          <w:tcPr>
            <w:tcW w:type="dxa" w:w="4422"/>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4422"/>
          </w:tcPr>
          <w:p>
            <w:r>
              <w:rPr>
                <w:b w:val="0"/>
                <w:i w:val="0"/>
                <w:sz w:val="16"/>
              </w:rPr>
              <w:t>Systeme MÜSSEN Daten über eine strukturierte und einheitliche Schnittstelle bereitstellen.</w:t>
            </w:r>
          </w:p>
        </w:tc>
        <w:tc>
          <w:tcPr>
            <w:tcW w:type="dxa" w:w="4422"/>
          </w:tcPr>
          <w:p>
            <w:r>
              <w:rPr>
                <w:b w:val="0"/>
                <w:i w:val="0"/>
                <w:color w:val="646B82"/>
                <w:sz w:val="16"/>
              </w:rPr>
              <w:t>Systems SHALL provide data through a structured and consistent interface</w:t>
            </w:r>
          </w:p>
        </w:tc>
      </w:tr>
      <w:tr>
        <w:tc>
          <w:tcPr>
            <w:tcW w:type="dxa" w:w="794"/>
          </w:tcPr>
          <w:p>
            <w:r>
              <w:rPr>
                <w:b/>
                <w:i w:val="0"/>
                <w:color w:val="0B7485"/>
                <w:sz w:val="16"/>
              </w:rPr>
              <w:t>R2.2</w:t>
            </w:r>
          </w:p>
        </w:tc>
        <w:tc>
          <w:tcPr>
            <w:tcW w:type="dxa" w:w="4422"/>
          </w:tcPr>
          <w:p>
            <w:r>
              <w:rPr>
                <w:b w:val="0"/>
                <w:i w:val="0"/>
                <w:sz w:val="16"/>
              </w:rPr>
              <w:t>Systeme MÜSSEN grundlegende Abfragen und/oder Filterungen unterstützen (z. B. nach Zeit, Ort, Attributen).</w:t>
            </w:r>
          </w:p>
        </w:tc>
        <w:tc>
          <w:tcPr>
            <w:tcW w:type="dxa" w:w="4422"/>
          </w:tcPr>
          <w:p>
            <w:r>
              <w:rPr>
                <w:b w:val="0"/>
                <w:i w:val="0"/>
                <w:color w:val="646B82"/>
                <w:sz w:val="16"/>
              </w:rPr>
              <w:t>Systems SHALL support basic querying and/or filtering (e.g. by time, location, attributes)</w:t>
            </w:r>
          </w:p>
        </w:tc>
      </w:tr>
      <w:tr>
        <w:tc>
          <w:tcPr>
            <w:tcW w:type="dxa" w:w="794"/>
            <w:shd w:val="clear" w:fill="EEF0FB"/>
          </w:tcPr>
          <w:p>
            <w:r>
              <w:rPr>
                <w:b/>
                <w:i w:val="0"/>
                <w:color w:val="2F3F9E"/>
                <w:sz w:val="16"/>
              </w:rPr>
            </w:r>
          </w:p>
        </w:tc>
        <w:tc>
          <w:tcPr>
            <w:tcW w:type="dxa" w:w="4422"/>
            <w:shd w:val="clear" w:fill="EEF0FB"/>
          </w:tcPr>
          <w:p>
            <w:r>
              <w:rPr>
                <w:b/>
                <w:i w:val="0"/>
                <w:color w:val="2F3F9E"/>
                <w:sz w:val="16"/>
              </w:rPr>
              <w:t>Weitere zu berücksichtigende bewährte Verfahren:</w:t>
            </w:r>
          </w:p>
        </w:tc>
        <w:tc>
          <w:tcPr>
            <w:tcW w:type="dxa" w:w="4422"/>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4422"/>
          </w:tcPr>
          <w:p>
            <w:r>
              <w:rPr>
                <w:b w:val="0"/>
                <w:i w:val="0"/>
                <w:sz w:val="16"/>
              </w:rPr>
              <w:t>APIs SOLLTEN den Abruf aktueller Daten unterstützen</w:t>
              <w:br/>
              <w:t>APIs SOLLTEN den Abruf historischer Daten unterstützen, sofern zutreffend</w:t>
              <w:br/>
              <w:t>APIs SOLLTEN räumliche Abfragen unterstützen, sofern zutreffend (siehe MIM7)</w:t>
              <w:br/>
              <w:t>APIs SOLLTEN Abonnements von Änderungen unterstützen, sofern zutreffend</w:t>
              <w:br/>
              <w:t>APIs SOLLTEN den Zeitstempel der nächsten erwarteten Aktualisierung bereitstellen</w:t>
              <w:br/>
              <w:t>APIs SOLLTEN eine explizite Versionierung von Endpunkten unterstützen</w:t>
              <w:br/>
              <w:t>APIs SOLLTEN Beispiel-Payloads oder Testabfragen bereitstellen</w:t>
              <w:br/>
              <w:t>APIs SOLLTEN standardmäßige HTTP-Caching-Header unterstützen</w:t>
              <w:br/>
              <w:t>APIs SOLLTEN den Status von Ratenbegrenzungen über standardmäßige HTTP-Header übermitteln</w:t>
              <w:br/>
              <w:t>APIs SOLLTEN strukturierte Fehlermeldungen zurückgeben</w:t>
              <w:br/>
              <w:t>APIs KÖNNEN Teilantworten oder Abfrageprojektionen unterstützen</w:t>
              <w:br/>
              <w:t>APIs KÖNNEN einen standardisierten Status-/Health-Endpunkt bereitstellen</w:t>
            </w:r>
          </w:p>
        </w:tc>
        <w:tc>
          <w:tcPr>
            <w:tcW w:type="dxa" w:w="4422"/>
          </w:tcPr>
          <w:p>
            <w:r>
              <w:rPr>
                <w:b w:val="0"/>
                <w:i w:val="0"/>
                <w:color w:val="646B82"/>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Datenänderungen können abonniert werden</w:t>
            </w:r>
          </w:p>
        </w:tc>
        <w:tc>
          <w:tcPr>
            <w:tcW w:type="dxa" w:w="4422"/>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4422"/>
          </w:tcPr>
          <w:p>
            <w:r>
              <w:rPr>
                <w:b w:val="0"/>
                <w:i w:val="0"/>
                <w:sz w:val="16"/>
              </w:rPr>
              <w:t>Systeme für Anwendungsfälle, die Benachrichtigungen erfordern, MÜSSEN mindestens einen Mechanismus bereitstellen, um Aktualisierungen bei Datenänderungen zu empfangen.</w:t>
            </w:r>
          </w:p>
        </w:tc>
        <w:tc>
          <w:tcPr>
            <w:tcW w:type="dxa" w:w="4422"/>
          </w:tcPr>
          <w:p>
            <w:r>
              <w:rPr>
                <w:b w:val="0"/>
                <w:i w:val="0"/>
                <w:color w:val="646B82"/>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4422"/>
          </w:tcPr>
          <w:p>
            <w:r>
              <w:rPr>
                <w:b w:val="0"/>
                <w:i w:val="0"/>
                <w:sz w:val="16"/>
              </w:rPr>
              <w:t>Systeme KÖNNEN je nach Anwendungsfall mehrere Abonnement-Mechanismen unterstützen.</w:t>
            </w:r>
          </w:p>
        </w:tc>
        <w:tc>
          <w:tcPr>
            <w:tcW w:type="dxa" w:w="4422"/>
          </w:tcPr>
          <w:p>
            <w:r>
              <w:rPr>
                <w:b w:val="0"/>
                <w:i w:val="0"/>
                <w:color w:val="646B82"/>
                <w:sz w:val="16"/>
              </w:rPr>
              <w:t>Systems MAY support multiple subscription mechanisms depending on use case</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Der Zugriff auf Informationen kann beschränkt werden</w:t>
            </w:r>
          </w:p>
        </w:tc>
        <w:tc>
          <w:tcPr>
            <w:tcW w:type="dxa" w:w="4422"/>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4422"/>
          </w:tcPr>
          <w:p>
            <w:r>
              <w:rPr>
                <w:b w:val="0"/>
                <w:i w:val="0"/>
                <w:sz w:val="16"/>
              </w:rPr>
              <w:t>Bestehen solche Beschränkungen, MÜSSEN sie den in MIM3 und MIM6 definierten Anforderungen folgen, insbesondere: Akteursidentifikation (MIM3.C5.R0), Autorisierung und Akteursrollen (MIM6.C1.R4), Richtlinien auf Datenbestandsebene (MIM6.C1.R4).</w:t>
            </w:r>
          </w:p>
        </w:tc>
        <w:tc>
          <w:tcPr>
            <w:tcW w:type="dxa" w:w="4422"/>
          </w:tcPr>
          <w:p>
            <w:r>
              <w:rPr>
                <w:b w:val="0"/>
                <w:i w:val="0"/>
                <w:color w:val="646B82"/>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Vollständige Spezifikation: </w:t>
      </w:r>
      <w:hyperlink r:id="rId13">
        <w:r>
          <w:rPr>
            <w:color w:val="2F3F9E"/>
            <w:u w:val="single"/>
            <w:sz w:val="18"/>
          </w:rPr>
          <w:t>https://mims.oascities.org/accessing-data</w:t>
        </w:r>
      </w:hyperlink>
    </w:p>
    <w:p>
      <w:r>
        <w:br w:type="page"/>
      </w:r>
    </w:p>
    <w:p>
      <w:pPr>
        <w:spacing w:before="120" w:after="40"/>
      </w:pPr>
      <w:r>
        <w:rPr>
          <w:b/>
          <w:i w:val="0"/>
          <w:color w:val="2F3F9E"/>
          <w:sz w:val="36"/>
        </w:rPr>
        <w:t>MIM1 · Besitzt jedes Objekt eine dauerhafte Kennung?</w:t>
      </w:r>
    </w:p>
    <w:p>
      <w:pPr>
        <w:spacing w:before="40" w:after="40"/>
      </w:pPr>
      <w:r>
        <w:rPr>
          <w:b w:val="0"/>
          <w:i w:val="0"/>
          <w:color w:val="646B82"/>
          <w:sz w:val="20"/>
        </w:rPr>
        <w:t xml:space="preserve">Datenverknüpfung   </w:t>
      </w:r>
      <w:hyperlink r:id="rId14">
        <w:r>
          <w:rPr>
            <w:color w:val="2F3F9E"/>
            <w:u w:val="single"/>
            <w:sz w:val="17.0"/>
          </w:rPr>
          <w:t>mims.oascities.org/interlinking-data</w:t>
        </w:r>
      </w:hyperlink>
    </w:p>
    <w:p>
      <w:pPr>
        <w:spacing w:before="120" w:after="200"/>
      </w:pPr>
      <w:r>
        <w:rPr>
          <w:b w:val="0"/>
          <w:i w:val="0"/>
          <w:sz w:val="20"/>
        </w:rPr>
        <w:t>Eine Stadt besteht aus unzähligen Objekten: Laternen, Rohre, Gebäude, Parkplätze. Systeme kommen und gehen, aber die Objekte bleiben. MIM1 fordert für jedes Objekt einen Namen – einen Identifikator –, der die Software überdauert, die ihn ursprünglich erfasst hat, damit Historie und Verknüpfungen jede Migration überstehen.</w:t>
      </w:r>
    </w:p>
    <w:p>
      <w:pPr>
        <w:spacing w:before="40" w:after="20"/>
      </w:pPr>
      <w:r>
        <w:rPr>
          <w:b/>
          <w:i w:val="0"/>
          <w:color w:val="2F3F9E"/>
          <w:sz w:val="22"/>
        </w:rPr>
        <w:t xml:space="preserve">☐  </w:t>
      </w:r>
      <w:r>
        <w:rPr>
          <w:b/>
          <w:i w:val="0"/>
          <w:color w:val="2F3F9E"/>
          <w:sz w:val="20"/>
        </w:rPr>
        <w:t xml:space="preserve">1.1  </w:t>
      </w:r>
      <w:r>
        <w:rPr>
          <w:b/>
          <w:i w:val="0"/>
          <w:sz w:val="20"/>
        </w:rPr>
        <w:t>Jede Entität (Sensor, Laterne, Gebäude, Parkplatz…) hat einen eindeutigen, dauerhaften Identifikator, der sich bei einem Softwarewechsel nicht ändert.</w:t>
      </w:r>
    </w:p>
    <w:p>
      <w:pPr>
        <w:spacing w:before="40" w:after="140"/>
      </w:pPr>
      <w:r>
        <w:rPr>
          <w:b w:val="0"/>
          <w:i/>
          <w:color w:val="646B82"/>
          <w:sz w:val="18"/>
        </w:rPr>
        <w:t xml:space="preserve">Verlauf und systemübergreifende Verknüpfungen überleben den Anbieter.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Der Identifikator kann abgefragt werden, um die Daten der Entität und deren Bedeutung (Typ) maschinenlesbar abzurufen.</w:t>
      </w:r>
    </w:p>
    <w:p>
      <w:pPr>
        <w:spacing w:before="40" w:after="140"/>
      </w:pPr>
      <w:r>
        <w:rPr>
          <w:b w:val="0"/>
          <w:i/>
          <w:color w:val="646B82"/>
          <w:sz w:val="18"/>
        </w:rPr>
        <w:t xml:space="preserve">Andere Systeme können der Verknüpfung automatisch folgen.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Existiert dasselbe reale Objekt in mehreren Systemen, können Identifikatoren einander zugeordnet werden.</w:t>
      </w:r>
    </w:p>
    <w:p>
      <w:pPr>
        <w:spacing w:before="40" w:after="140"/>
      </w:pPr>
      <w:r>
        <w:rPr>
          <w:b w:val="0"/>
          <w:i/>
          <w:color w:val="646B82"/>
          <w:sz w:val="18"/>
        </w:rPr>
        <w:t xml:space="preserve">Das GIS-Gebäude und das Gebäude im Energiesystem sind nachweislich dasselbe Gebäude.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Identifikatoren enthalten keine anbieterinternen Angaben (Datenbank-Zeilen-IDs, Servernamen).</w:t>
      </w:r>
    </w:p>
    <w:p>
      <w:pPr>
        <w:spacing w:before="40" w:after="140"/>
      </w:pPr>
      <w:r>
        <w:rPr>
          <w:b w:val="0"/>
          <w:i/>
          <w:color w:val="646B82"/>
          <w:sz w:val="18"/>
        </w:rPr>
        <w:t xml:space="preserve">Andernfalls erlöschen die IDs mit dem Vertragsende.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Zehn Jahre Messwerte bleiben dem richtigen Laternenmast zugeordnet.</w:t>
            </w:r>
          </w:p>
          <w:p>
            <w:pPr>
              <w:spacing w:before="20" w:after="60"/>
            </w:pPr>
            <w:r>
              <w:rPr>
                <w:b/>
                <w:i w:val="0"/>
                <w:color w:val="2F3F9E"/>
                <w:sz w:val="18"/>
              </w:rPr>
              <w:t xml:space="preserve">•  </w:t>
            </w:r>
            <w:r>
              <w:rPr>
                <w:b w:val="0"/>
                <w:i w:val="0"/>
                <w:sz w:val="18"/>
              </w:rPr>
              <w:t>Fachbereiche führen nicht länger fünf widersprüchliche Register derselben Anlagen.</w:t>
            </w:r>
          </w:p>
          <w:p>
            <w:pPr>
              <w:spacing w:before="20" w:after="60"/>
            </w:pPr>
            <w:r>
              <w:rPr>
                <w:b/>
                <w:i w:val="0"/>
                <w:color w:val="2F3F9E"/>
                <w:sz w:val="18"/>
              </w:rPr>
              <w:t xml:space="preserve">•  </w:t>
            </w:r>
            <w:r>
              <w:rPr>
                <w:b w:val="0"/>
                <w:i w:val="0"/>
                <w:sz w:val="18"/>
              </w:rPr>
              <w:t>Das Verknüpfen von Datensätzen wird zur einfachen Abfrage statt zum Beratungsprojekt.</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„IDs werden nur intern in unserer Plattform geführt.“</w:t>
            </w:r>
          </w:p>
          <w:p>
            <w:pPr>
              <w:spacing w:before="20" w:after="60"/>
            </w:pPr>
            <w:r>
              <w:rPr>
                <w:b/>
                <w:i w:val="0"/>
                <w:color w:val="A02020"/>
                <w:sz w:val="18"/>
              </w:rPr>
              <w:t xml:space="preserve">•  </w:t>
            </w:r>
            <w:r>
              <w:rPr>
                <w:b w:val="0"/>
                <w:i w:val="0"/>
                <w:sz w:val="18"/>
              </w:rPr>
              <w:t>Identifikatoren werden bei jeder Datenmigration neu erzeugt.</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Entitäten werden mittels eindeutiger Bezeichner identifiziert</w:t>
            </w:r>
          </w:p>
        </w:tc>
        <w:tc>
          <w:tcPr>
            <w:tcW w:type="dxa" w:w="4422"/>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4422"/>
          </w:tcPr>
          <w:p>
            <w:r>
              <w:rPr>
                <w:b w:val="0"/>
                <w:i w:val="0"/>
                <w:sz w:val="16"/>
              </w:rPr>
              <w:t>Jede Entität innerhalb des Systems besitzt einen eindeutigen Bezeichner.</w:t>
            </w:r>
          </w:p>
        </w:tc>
        <w:tc>
          <w:tcPr>
            <w:tcW w:type="dxa" w:w="4422"/>
          </w:tcPr>
          <w:p>
            <w:r>
              <w:rPr>
                <w:b w:val="0"/>
                <w:i w:val="0"/>
                <w:color w:val="646B82"/>
                <w:sz w:val="16"/>
              </w:rPr>
              <w:t>Every entity within the system has a unique identifier</w:t>
            </w:r>
          </w:p>
        </w:tc>
      </w:tr>
      <w:tr>
        <w:tc>
          <w:tcPr>
            <w:tcW w:type="dxa" w:w="794"/>
          </w:tcPr>
          <w:p>
            <w:r>
              <w:rPr>
                <w:b/>
                <w:i w:val="0"/>
                <w:color w:val="0B7485"/>
                <w:sz w:val="16"/>
              </w:rPr>
              <w:t>R1.2</w:t>
            </w:r>
          </w:p>
        </w:tc>
        <w:tc>
          <w:tcPr>
            <w:tcW w:type="dxa" w:w="4422"/>
          </w:tcPr>
          <w:p>
            <w:r>
              <w:rPr>
                <w:b w:val="0"/>
                <w:i w:val="0"/>
                <w:sz w:val="16"/>
              </w:rPr>
              <w:t>Es existiert ein Verfahren, um Informationen über eine Entität durch Nachschlagen des Bezeichners innerhalb eines Systems abzurufen.</w:t>
            </w:r>
          </w:p>
        </w:tc>
        <w:tc>
          <w:tcPr>
            <w:tcW w:type="dxa" w:w="4422"/>
          </w:tcPr>
          <w:p>
            <w:r>
              <w:rPr>
                <w:b w:val="0"/>
                <w:i w:val="0"/>
                <w:color w:val="646B82"/>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4422"/>
          </w:tcPr>
          <w:p>
            <w:r>
              <w:rPr>
                <w:b w:val="0"/>
                <w:i w:val="0"/>
                <w:sz w:val="16"/>
              </w:rPr>
              <w:t>Verweist ein eindeutiger Bezeichner innerhalb mehrerer Systeme auf dieselbe Entität, ist es möglich, das Verfahren zum Nachschlagen von Informationen über sie in jedem dieser Systeme abzuleiten.</w:t>
            </w:r>
          </w:p>
        </w:tc>
        <w:tc>
          <w:tcPr>
            <w:tcW w:type="dxa" w:w="4422"/>
          </w:tcPr>
          <w:p>
            <w:r>
              <w:rPr>
                <w:b w:val="0"/>
                <w:i w:val="0"/>
                <w:color w:val="646B82"/>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4422"/>
          </w:tcPr>
          <w:p>
            <w:r>
              <w:rPr>
                <w:b w:val="0"/>
                <w:i w:val="0"/>
                <w:sz w:val="16"/>
              </w:rPr>
              <w:t>Verweisen mehrere eindeutige Bezeichner auf dieselbe Entität, ist es möglich, diese einander zuzuordnen.</w:t>
            </w:r>
          </w:p>
        </w:tc>
        <w:tc>
          <w:tcPr>
            <w:tcW w:type="dxa" w:w="4422"/>
          </w:tcPr>
          <w:p>
            <w:r>
              <w:rPr>
                <w:b w:val="0"/>
                <w:i w:val="0"/>
                <w:color w:val="646B82"/>
                <w:sz w:val="16"/>
              </w:rPr>
              <w:t>if a multiple [sic] unique identifiers point to the same entity, it is possible to map them</w:t>
            </w:r>
          </w:p>
        </w:tc>
      </w:tr>
      <w:tr>
        <w:tc>
          <w:tcPr>
            <w:tcW w:type="dxa" w:w="794"/>
          </w:tcPr>
          <w:p>
            <w:r>
              <w:rPr>
                <w:b/>
                <w:i w:val="0"/>
                <w:color w:val="0B7485"/>
                <w:sz w:val="16"/>
              </w:rPr>
              <w:t>R1.5</w:t>
            </w:r>
          </w:p>
        </w:tc>
        <w:tc>
          <w:tcPr>
            <w:tcW w:type="dxa" w:w="4422"/>
          </w:tcPr>
          <w:p>
            <w:r>
              <w:rPr>
                <w:b w:val="0"/>
                <w:i w:val="0"/>
                <w:sz w:val="16"/>
              </w:rPr>
              <w:t>Es ist möglich, Bezeichner zu erstellen, die über die Zeit hinweg beständig sind.</w:t>
            </w:r>
          </w:p>
        </w:tc>
        <w:tc>
          <w:tcPr>
            <w:tcW w:type="dxa" w:w="4422"/>
          </w:tcPr>
          <w:p>
            <w:r>
              <w:rPr>
                <w:b w:val="0"/>
                <w:i w:val="0"/>
                <w:color w:val="646B82"/>
                <w:sz w:val="16"/>
              </w:rPr>
              <w:t>It is possible to create identifiers that are persistent over time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Entitäten können typisiert werden</w:t>
            </w:r>
          </w:p>
        </w:tc>
        <w:tc>
          <w:tcPr>
            <w:tcW w:type="dxa" w:w="4422"/>
            <w:shd w:val="clear" w:fill="EEF0FB"/>
          </w:tcPr>
          <w:p>
            <w:r>
              <w:rPr>
                <w:b/>
                <w:i w:val="0"/>
                <w:color w:val="2F3F9E"/>
                <w:sz w:val="16"/>
              </w:rPr>
              <w:t>Entities can be typed</w:t>
            </w:r>
          </w:p>
        </w:tc>
      </w:tr>
      <w:tr>
        <w:tc>
          <w:tcPr>
            <w:tcW w:type="dxa" w:w="794"/>
          </w:tcPr>
          <w:p>
            <w:r>
              <w:rPr>
                <w:b/>
                <w:i w:val="0"/>
                <w:color w:val="0B7485"/>
                <w:sz w:val="16"/>
              </w:rPr>
              <w:t>R2.1</w:t>
            </w:r>
          </w:p>
        </w:tc>
        <w:tc>
          <w:tcPr>
            <w:tcW w:type="dxa" w:w="4422"/>
          </w:tcPr>
          <w:p>
            <w:r>
              <w:rPr>
                <w:b w:val="0"/>
                <w:i w:val="0"/>
                <w:sz w:val="16"/>
              </w:rPr>
              <w:t>Es existiert ein Verfahren, um die Semantik einer Entität ausschließlich über ihren eindeutigen Bezeichner abzurufen.</w:t>
            </w:r>
          </w:p>
        </w:tc>
        <w:tc>
          <w:tcPr>
            <w:tcW w:type="dxa" w:w="4422"/>
          </w:tcPr>
          <w:p>
            <w:r>
              <w:rPr>
                <w:b w:val="0"/>
                <w:i w:val="0"/>
                <w:color w:val="646B82"/>
                <w:sz w:val="16"/>
              </w:rPr>
              <w:t>There is a way to retreive [sic] the semantics of an entity, only using its unique identifier</w:t>
            </w:r>
          </w:p>
        </w:tc>
      </w:tr>
      <w:tr>
        <w:tc>
          <w:tcPr>
            <w:tcW w:type="dxa" w:w="794"/>
          </w:tcPr>
          <w:p>
            <w:r>
              <w:rPr>
                <w:b/>
                <w:i w:val="0"/>
                <w:color w:val="0B7485"/>
                <w:sz w:val="16"/>
              </w:rPr>
              <w:t>R2.2</w:t>
            </w:r>
          </w:p>
        </w:tc>
        <w:tc>
          <w:tcPr>
            <w:tcW w:type="dxa" w:w="4422"/>
          </w:tcPr>
          <w:p>
            <w:r>
              <w:rPr>
                <w:b w:val="0"/>
                <w:i w:val="0"/>
                <w:sz w:val="16"/>
              </w:rPr>
              <w:t>Diese Semantik ist in einem maschinenlesbaren Format beschrieben.</w:t>
            </w:r>
          </w:p>
        </w:tc>
        <w:tc>
          <w:tcPr>
            <w:tcW w:type="dxa" w:w="4422"/>
          </w:tcPr>
          <w:p>
            <w:r>
              <w:rPr>
                <w:b w:val="0"/>
                <w:i w:val="0"/>
                <w:color w:val="646B82"/>
                <w:sz w:val="16"/>
              </w:rPr>
              <w:t>These semantics are described in a machine-readable format</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Entitäten können (de-)referenziert werden</w:t>
            </w:r>
          </w:p>
        </w:tc>
        <w:tc>
          <w:tcPr>
            <w:tcW w:type="dxa" w:w="4422"/>
            <w:shd w:val="clear" w:fill="EEF0FB"/>
          </w:tcPr>
          <w:p>
            <w:r>
              <w:rPr>
                <w:b/>
                <w:i w:val="0"/>
                <w:color w:val="2F3F9E"/>
                <w:sz w:val="16"/>
              </w:rPr>
              <w:t>Entities can be (de)referenced</w:t>
            </w:r>
          </w:p>
        </w:tc>
      </w:tr>
      <w:tr>
        <w:tc>
          <w:tcPr>
            <w:tcW w:type="dxa" w:w="794"/>
          </w:tcPr>
          <w:p>
            <w:r>
              <w:rPr>
                <w:b/>
                <w:i w:val="0"/>
                <w:color w:val="0B7485"/>
                <w:sz w:val="16"/>
              </w:rPr>
              <w:t>R3.1</w:t>
            </w:r>
          </w:p>
        </w:tc>
        <w:tc>
          <w:tcPr>
            <w:tcW w:type="dxa" w:w="4422"/>
          </w:tcPr>
          <w:p>
            <w:r>
              <w:rPr>
                <w:b w:val="0"/>
                <w:i w:val="0"/>
                <w:sz w:val="16"/>
              </w:rPr>
              <w:t>Es existiert ein Verfahren, um eine für eine Entität definierte Beziehung zu dereferenzieren.</w:t>
            </w:r>
          </w:p>
        </w:tc>
        <w:tc>
          <w:tcPr>
            <w:tcW w:type="dxa" w:w="4422"/>
          </w:tcPr>
          <w:p>
            <w:r>
              <w:rPr>
                <w:b w:val="0"/>
                <w:i w:val="0"/>
                <w:color w:val="646B82"/>
                <w:sz w:val="16"/>
              </w:rPr>
              <w:t>There exists a way to dereference a relation defined on an entity</w:t>
            </w:r>
          </w:p>
        </w:tc>
      </w:tr>
      <w:tr>
        <w:tc>
          <w:tcPr>
            <w:tcW w:type="dxa" w:w="794"/>
          </w:tcPr>
          <w:p>
            <w:r>
              <w:rPr>
                <w:b/>
                <w:i w:val="0"/>
                <w:color w:val="0B7485"/>
                <w:sz w:val="16"/>
              </w:rPr>
              <w:t>R3.2</w:t>
            </w:r>
          </w:p>
        </w:tc>
        <w:tc>
          <w:tcPr>
            <w:tcW w:type="dxa" w:w="4422"/>
          </w:tcPr>
          <w:p>
            <w:r>
              <w:rPr>
                <w:b w:val="0"/>
                <w:i w:val="0"/>
                <w:sz w:val="16"/>
              </w:rPr>
              <w:t>Es existiert ein Verfahren, um eine bestehende Ontologie um zusätzliche Semantik zu ergänzen.</w:t>
            </w:r>
          </w:p>
        </w:tc>
        <w:tc>
          <w:tcPr>
            <w:tcW w:type="dxa" w:w="4422"/>
          </w:tcPr>
          <w:p>
            <w:r>
              <w:rPr>
                <w:b w:val="0"/>
                <w:i w:val="0"/>
                <w:color w:val="646B82"/>
                <w:sz w:val="16"/>
              </w:rPr>
              <w:t>There exists a way to apply additional semantics to an existing ontology</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Mechanismus 1, Abschnitt 3.1: Entitätenidentifikation mit global eindeutigen IRIs</w:t>
            </w:r>
          </w:p>
        </w:tc>
        <w:tc>
          <w:tcPr>
            <w:tcW w:type="dxa" w:w="4422"/>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4422"/>
          </w:tcPr>
          <w:p>
            <w:r>
              <w:rPr>
                <w:b w:val="0"/>
                <w:i w:val="0"/>
                <w:sz w:val="16"/>
              </w:rPr>
              <w:t>Der IRI wird in allen nachgelagerten Systemen als kanonischer Bezeichner behandelt; Implementierungen DÜRFEN KEINE IRIs erzeugen, die flüchtige Implementierungsdetails wie Zeilen-IDs einer Datenbank oder Server-Hostnamen enthalten.</w:t>
            </w:r>
          </w:p>
        </w:tc>
        <w:tc>
          <w:tcPr>
            <w:tcW w:type="dxa" w:w="4422"/>
          </w:tcPr>
          <w:p>
            <w:r>
              <w:rPr>
                <w:b w:val="0"/>
                <w:i w:val="0"/>
                <w:color w:val="646B82"/>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Vollständige Spezifikation: </w:t>
      </w:r>
      <w:hyperlink r:id="rId14">
        <w:r>
          <w:rPr>
            <w:color w:val="2F3F9E"/>
            <w:u w:val="single"/>
            <w:sz w:val="18"/>
          </w:rPr>
          <w:t>https://mims.oascities.org/interlinking-data</w:t>
        </w:r>
      </w:hyperlink>
    </w:p>
    <w:p>
      <w:r>
        <w:br w:type="page"/>
      </w:r>
    </w:p>
    <w:p>
      <w:pPr>
        <w:spacing w:before="120" w:after="40"/>
      </w:pPr>
      <w:r>
        <w:rPr>
          <w:b/>
          <w:i w:val="0"/>
          <w:color w:val="2F3F9E"/>
          <w:sz w:val="36"/>
        </w:rPr>
        <w:t>MIM2 · Sprechen wir eine gemeinsame Sprache?</w:t>
      </w:r>
    </w:p>
    <w:p>
      <w:pPr>
        <w:spacing w:before="40" w:after="40"/>
      </w:pPr>
      <w:r>
        <w:rPr>
          <w:b w:val="0"/>
          <w:i w:val="0"/>
          <w:color w:val="646B82"/>
          <w:sz w:val="20"/>
        </w:rPr>
        <w:t xml:space="preserve">Datenrepräsentation   </w:t>
      </w:r>
      <w:hyperlink r:id="rId15">
        <w:r>
          <w:rPr>
            <w:color w:val="2F3F9E"/>
            <w:u w:val="single"/>
            <w:sz w:val="17.0"/>
          </w:rPr>
          <w:t>mims.oascities.org/representing-data</w:t>
        </w:r>
      </w:hyperlink>
    </w:p>
    <w:p>
      <w:pPr>
        <w:spacing w:before="120" w:after="200"/>
      </w:pPr>
      <w:r>
        <w:rPr>
          <w:b w:val="0"/>
          <w:i w:val="0"/>
          <w:sz w:val="20"/>
        </w:rPr>
        <w:t>Zwei Systeme können beide JSON exportieren und sich dennoch nicht verstehen. Bei MIM2 geht es um die Bedeutung: gemeinsame, dokumentierte Datenmodelle – mit eindeutigen Einheiten und Formaten –, damit „Temperatur“, „Parkplatz“ oder „Luftqualität“ in jedem Ihrer Systeme exakt dasselbe bedeutet.</w:t>
      </w:r>
    </w:p>
    <w:p>
      <w:pPr>
        <w:spacing w:before="40" w:after="20"/>
      </w:pPr>
      <w:r>
        <w:rPr>
          <w:b/>
          <w:i w:val="0"/>
          <w:color w:val="2F3F9E"/>
          <w:sz w:val="22"/>
        </w:rPr>
        <w:t xml:space="preserve">☐  </w:t>
      </w:r>
      <w:r>
        <w:rPr>
          <w:b/>
          <w:i w:val="0"/>
          <w:color w:val="2F3F9E"/>
          <w:sz w:val="20"/>
        </w:rPr>
        <w:t xml:space="preserve">2.1  </w:t>
      </w:r>
      <w:r>
        <w:rPr>
          <w:b/>
          <w:i w:val="0"/>
          <w:sz w:val="20"/>
        </w:rPr>
        <w:t>Daten nutzen allgemein anerkannte Standarddatenmodelle, wo immer vorhanden (z. B. Smart Data Models, SAREF, ISO/IEC 5087); Abweichungen sind schriftlich zu begründen.</w:t>
      </w:r>
    </w:p>
    <w:p>
      <w:pPr>
        <w:spacing w:before="40" w:after="140"/>
      </w:pPr>
      <w:r>
        <w:rPr>
          <w:b w:val="0"/>
          <w:i/>
          <w:color w:val="646B82"/>
          <w:sz w:val="18"/>
        </w:rPr>
        <w:t xml:space="preserve">Daten zweier Anbieter lassen sich ohne Übersetzungsprojekt zusammenführen.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Alle verwendeten Datenmodelle sind ausdrücklich dokumentiert, unter Angabe von Maßeinheiten und Datums-/Uhrzeitformaten.</w:t>
      </w:r>
    </w:p>
    <w:p>
      <w:pPr>
        <w:spacing w:before="40" w:after="140"/>
      </w:pPr>
      <w:r>
        <w:rPr>
          <w:b w:val="0"/>
          <w:i/>
          <w:color w:val="646B82"/>
          <w:sz w:val="18"/>
        </w:rPr>
        <w:t xml:space="preserve">„Temperatur: 23“ ist unbrauchbar, wenn niemand °C oder °F festgelegt hat.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Erweiterungen werden als dokumentierte Profile/Ergänzungen auf Basis des Standardmodells geliefert – niemals als modifizierter privater Fork.</w:t>
      </w:r>
    </w:p>
    <w:p>
      <w:pPr>
        <w:spacing w:before="40" w:after="140"/>
      </w:pPr>
      <w:r>
        <w:rPr>
          <w:b w:val="0"/>
          <w:i/>
          <w:color w:val="646B82"/>
          <w:sz w:val="18"/>
        </w:rPr>
        <w:t xml:space="preserve">Sie bleiben kompatibel mit der Community und künftigen Aktualisierungen.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Jedes Modell verfügt über mindestens eine offene, schemavalidierbare Serialisierung (z. B. JSON mit JSON-Schema).</w:t>
      </w:r>
    </w:p>
    <w:p>
      <w:pPr>
        <w:spacing w:before="40" w:after="140"/>
      </w:pPr>
      <w:r>
        <w:rPr>
          <w:b w:val="0"/>
          <w:i/>
          <w:color w:val="646B82"/>
          <w:sz w:val="18"/>
        </w:rPr>
        <w:t xml:space="preserve">Eingehende Daten können direkt beim Empfang automatisch geprüft werden.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Ein Dashboard liest Daten vieler Anbieter ohne Adapter aus.</w:t>
            </w:r>
          </w:p>
          <w:p>
            <w:pPr>
              <w:spacing w:before="20" w:after="60"/>
            </w:pPr>
            <w:r>
              <w:rPr>
                <w:b/>
                <w:i w:val="0"/>
                <w:color w:val="2F3F9E"/>
                <w:sz w:val="18"/>
              </w:rPr>
              <w:t xml:space="preserve">•  </w:t>
            </w:r>
            <w:r>
              <w:rPr>
                <w:b w:val="0"/>
                <w:i w:val="0"/>
                <w:sz w:val="18"/>
              </w:rPr>
              <w:t>Ihre Daten werden von Werkzeugen anderer Kommunen verstanden – und deren Daten von Ihren.</w:t>
            </w:r>
          </w:p>
          <w:p>
            <w:pPr>
              <w:spacing w:before="20" w:after="60"/>
            </w:pPr>
            <w:r>
              <w:rPr>
                <w:b/>
                <w:i w:val="0"/>
                <w:color w:val="2F3F9E"/>
                <w:sz w:val="18"/>
              </w:rPr>
              <w:t xml:space="preserve">•  </w:t>
            </w:r>
            <w:r>
              <w:rPr>
                <w:b w:val="0"/>
                <w:i w:val="0"/>
                <w:sz w:val="18"/>
              </w:rPr>
              <w:t>Automatische Validierung stoppt fehlerhafte Daten, bevor sie sich ausbreiten.</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„Unser proprietäres Datenmodell ist umfangreicher als der Standard.“</w:t>
            </w:r>
          </w:p>
          <w:p>
            <w:pPr>
              <w:spacing w:before="20" w:after="60"/>
            </w:pPr>
            <w:r>
              <w:rPr>
                <w:b/>
                <w:i w:val="0"/>
                <w:color w:val="A02020"/>
                <w:sz w:val="18"/>
              </w:rPr>
              <w:t xml:space="preserve">•  </w:t>
            </w:r>
            <w:r>
              <w:rPr>
                <w:b w:val="0"/>
                <w:i w:val="0"/>
                <w:sz w:val="18"/>
              </w:rPr>
              <w:t>Dokumentation nur unter NDA verfügbar.</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Alle in Datenquellen enthaltenen Entitäten werden mithilfe einheitlicher Datenmodelle beschrieben, um Interoperabilität für Anwendungen und Systeme zu ermöglichen</w:t>
            </w:r>
          </w:p>
        </w:tc>
        <w:tc>
          <w:tcPr>
            <w:tcW w:type="dxa" w:w="4422"/>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4422"/>
          </w:tcPr>
          <w:p>
            <w:r>
              <w:rPr>
                <w:b w:val="0"/>
                <w:i w:val="0"/>
                <w:sz w:val="16"/>
              </w:rPr>
              <w:t>Für alle Entitäten in jeder Datenquelle verwendete Datenmodelle müssen explizit ausgewiesen werden. Sie müssen gut dokumentiert sein und beschreibende Metadaten aufweisen, wobei die verwendeten Begriffe semantisch eindeutig sein müssen. Für Attribute bezüglich Maßeinheiten, Zeitformaten usw. müssen die verwendeten Einheiten, Formate usw. explizit ausgewiesen werden. Die Datenmodelle sollten katalogisiert werden, damit sie leicht auffindbar sind.</w:t>
            </w:r>
          </w:p>
        </w:tc>
        <w:tc>
          <w:tcPr>
            <w:tcW w:type="dxa" w:w="4422"/>
          </w:tcPr>
          <w:p>
            <w:r>
              <w:rPr>
                <w:b w:val="0"/>
                <w:i w:val="0"/>
                <w:color w:val="646B82"/>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4422"/>
          </w:tcPr>
          <w:p>
            <w:r>
              <w:rPr>
                <w:b w:val="0"/>
                <w:i w:val="0"/>
                <w:sz w:val="16"/>
              </w:rPr>
              <w:t>Verwendete Datenmodelle müssen (wann immer möglich) auf allgemein anerkannten standardisierten Datenmodellen gemäß der nachstehenden Liste basieren.</w:t>
            </w:r>
          </w:p>
        </w:tc>
        <w:tc>
          <w:tcPr>
            <w:tcW w:type="dxa" w:w="4422"/>
          </w:tcPr>
          <w:p>
            <w:r>
              <w:rPr>
                <w:b w:val="0"/>
                <w:i w:val="0"/>
                <w:color w:val="646B82"/>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4422"/>
          </w:tcPr>
          <w:p>
            <w:r>
              <w:rPr>
                <w:b w:val="0"/>
                <w:i w:val="0"/>
                <w:sz w:val="16"/>
              </w:rPr>
              <w:t>Ist die Verwendung bestehender standardisierter Datenmodelle nicht möglich, müssen Anstrengungen unternommen werden, um am besten passende bestehende standardisierte Datenmodelle zu erweitern oder neue zu definieren, wobei bewährte Praktiken und Konventionen der das Datenmodell definierenden Gemeinschaft oder Organisation zu befolgen sind.</w:t>
            </w:r>
          </w:p>
        </w:tc>
        <w:tc>
          <w:tcPr>
            <w:tcW w:type="dxa" w:w="4422"/>
          </w:tcPr>
          <w:p>
            <w:r>
              <w:rPr>
                <w:b w:val="0"/>
                <w:i w:val="0"/>
                <w:color w:val="646B82"/>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4422"/>
          </w:tcPr>
          <w:p>
            <w:r>
              <w:rPr>
                <w:b w:val="0"/>
                <w:i w:val="0"/>
                <w:sz w:val="16"/>
              </w:rPr>
              <w:t>Verwendete Datenmodelle müssen den Datenaustausch durch Anwendung der relevanten Anforderungen der MIMs zu Datenzugriff und Datenverknüpfung unterstützen.</w:t>
            </w:r>
          </w:p>
        </w:tc>
        <w:tc>
          <w:tcPr>
            <w:tcW w:type="dxa" w:w="4422"/>
          </w:tcPr>
          <w:p>
            <w:r>
              <w:rPr>
                <w:b w:val="0"/>
                <w:i w:val="0"/>
                <w:color w:val="646B82"/>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Unterschiedliche Datenmodelle für dieselbe Entität, die innerhalb eines gemeinsamen Datenaustausch-Ökosystems verwendet werden, sollten leicht in ein gemeinsames Datenmodell transformierbar sein</w:t>
            </w:r>
          </w:p>
        </w:tc>
        <w:tc>
          <w:tcPr>
            <w:tcW w:type="dxa" w:w="4422"/>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4422"/>
          </w:tcPr>
          <w:p>
            <w:r>
              <w:rPr>
                <w:b w:val="0"/>
                <w:i w:val="0"/>
                <w:sz w:val="16"/>
              </w:rPr>
              <w:t>Für jedes Datenökosystem sollte ein gemeinsames Datenmodell für jede Schlüsselentität entwickelt werden. Dieses gemeinsame Datenmodell sollte alle Felder enthalten, die in den verschiedenen für diese Entität innerhalb dieses Datenökosystems verwendeten Datenmodellen enthalten sind. Jedes innerhalb dieses Datenökosystems verwendete abweichende Datenmodell könnte dann in das gemeinsame Datenmodell transformiert werden.</w:t>
            </w:r>
          </w:p>
        </w:tc>
        <w:tc>
          <w:tcPr>
            <w:tcW w:type="dxa" w:w="4422"/>
          </w:tcPr>
          <w:p>
            <w:r>
              <w:rPr>
                <w:b w:val="0"/>
                <w:i w:val="0"/>
                <w:color w:val="646B82"/>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Jegliche Daten und deren zugehörige Metadaten können in offenen, standardisierten Datentransportformaten geteilt werden, sodass Daten einheitlich ausgetauscht und von verschiedenen Werkzeugen und Implementierungen interpretiert werden können</w:t>
            </w:r>
          </w:p>
        </w:tc>
        <w:tc>
          <w:tcPr>
            <w:tcW w:type="dxa" w:w="4422"/>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4422"/>
          </w:tcPr>
          <w:p>
            <w:r>
              <w:rPr>
                <w:b w:val="0"/>
                <w:i w:val="0"/>
                <w:sz w:val="16"/>
              </w:rPr>
              <w:t>Jedes verwendete Datenmodell muss über mindestens ein definiertes maschinenlesbares Datentransportformat („Serialisierung“) verfügen, das offen, öffentlich verfügbar und implementierungsunabhängig ist.</w:t>
            </w:r>
          </w:p>
        </w:tc>
        <w:tc>
          <w:tcPr>
            <w:tcW w:type="dxa" w:w="4422"/>
          </w:tcPr>
          <w:p>
            <w:r>
              <w:rPr>
                <w:b w:val="0"/>
                <w:i w:val="0"/>
                <w:color w:val="646B82"/>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4422"/>
          </w:tcPr>
          <w:p>
            <w:r>
              <w:rPr>
                <w:b w:val="0"/>
                <w:i w:val="0"/>
                <w:sz w:val="16"/>
              </w:rPr>
              <w:t>Die Dokumentation des Datentransportformats sollte ausreichend sein, um die Erstellung einer herstellerunabhängigen Anwendung oder eines Interpreters zu ermöglichen, die oder der in der Lage ist, alle in einem solchen Datenformat gespeicherten Daten zu rekonstruieren.</w:t>
            </w:r>
          </w:p>
        </w:tc>
        <w:tc>
          <w:tcPr>
            <w:tcW w:type="dxa" w:w="4422"/>
          </w:tcPr>
          <w:p>
            <w:r>
              <w:rPr>
                <w:b w:val="0"/>
                <w:i w:val="0"/>
                <w:color w:val="646B82"/>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4422"/>
          </w:tcPr>
          <w:p>
            <w:r>
              <w:rPr>
                <w:b w:val="0"/>
                <w:i w:val="0"/>
                <w:sz w:val="16"/>
              </w:rPr>
              <w:t>Werden für dasselbe Datenmodell mehrere Datentransportformate unterstützt, müssen sie denselben Informationsgehalt konsistent und ohne Bedeutungsverlust darstellen.</w:t>
            </w:r>
          </w:p>
        </w:tc>
        <w:tc>
          <w:tcPr>
            <w:tcW w:type="dxa" w:w="4422"/>
          </w:tcPr>
          <w:p>
            <w:r>
              <w:rPr>
                <w:b w:val="0"/>
                <w:i w:val="0"/>
                <w:color w:val="646B82"/>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4422"/>
          </w:tcPr>
          <w:p>
            <w:r>
              <w:rPr>
                <w:b w:val="0"/>
                <w:i w:val="0"/>
                <w:sz w:val="16"/>
              </w:rPr>
              <w:t>Die Darstellung sollte die Validierung mittels offen veröffentlichter Schemata, Grammatiken oder gleichwertiger maschinenlesbarer Beschränkungen unterstützen, sofern solche Validierungsmechanismen für das gewählte Format existieren.</w:t>
            </w:r>
          </w:p>
        </w:tc>
        <w:tc>
          <w:tcPr>
            <w:tcW w:type="dxa" w:w="4422"/>
          </w:tcPr>
          <w:p>
            <w:r>
              <w:rPr>
                <w:b w:val="0"/>
                <w:i w:val="0"/>
                <w:color w:val="646B82"/>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Sofern sinnvoll, sollte es möglich sein, „Anwendungsprofile“ für ein Datenmodell zu erstellen, sodass anwendungsfallspezifische Attribute hinzugefügt oder spezifiziert werden können, ohne das zugrunde liegende Datenmodell zu verändern</w:t>
            </w:r>
          </w:p>
        </w:tc>
        <w:tc>
          <w:tcPr>
            <w:tcW w:type="dxa" w:w="4422"/>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4422"/>
          </w:tcPr>
          <w:p>
            <w:r>
              <w:rPr>
                <w:b w:val="0"/>
                <w:i w:val="0"/>
                <w:sz w:val="16"/>
              </w:rPr>
              <w:t>Anwendungsprofile, die ein Datenmodell erweitern, sollten das bereits bestehende Modell und dessen Nutzer nicht beeinträchtigen.</w:t>
            </w:r>
          </w:p>
        </w:tc>
        <w:tc>
          <w:tcPr>
            <w:tcW w:type="dxa" w:w="4422"/>
          </w:tcPr>
          <w:p>
            <w:r>
              <w:rPr>
                <w:b w:val="0"/>
                <w:i w:val="0"/>
                <w:color w:val="646B82"/>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4422"/>
          </w:tcPr>
          <w:p>
            <w:r>
              <w:rPr>
                <w:b w:val="0"/>
                <w:i w:val="0"/>
                <w:sz w:val="16"/>
              </w:rPr>
              <w:t>Die im Anwendungsprofil des Modells eingeführten Spezialisierungen oder Erweiterungen sollten gut und getrennt vom Basisdatenmodell dokumentiert werden.</w:t>
            </w:r>
          </w:p>
        </w:tc>
        <w:tc>
          <w:tcPr>
            <w:tcW w:type="dxa" w:w="4422"/>
          </w:tcPr>
          <w:p>
            <w:r>
              <w:rPr>
                <w:b w:val="0"/>
                <w:i w:val="0"/>
                <w:color w:val="646B82"/>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Vollständige Spezifikation: </w:t>
      </w:r>
      <w:hyperlink r:id="rId15">
        <w:r>
          <w:rPr>
            <w:color w:val="2F3F9E"/>
            <w:u w:val="single"/>
            <w:sz w:val="18"/>
          </w:rPr>
          <w:t>https://mims.oascities.org/representing-data</w:t>
        </w:r>
      </w:hyperlink>
    </w:p>
    <w:p>
      <w:r>
        <w:br w:type="page"/>
      </w:r>
    </w:p>
    <w:p>
      <w:pPr>
        <w:spacing w:before="120" w:after="40"/>
      </w:pPr>
      <w:r>
        <w:rPr>
          <w:b/>
          <w:i w:val="0"/>
          <w:color w:val="2F3F9E"/>
          <w:sz w:val="36"/>
        </w:rPr>
        <w:t>MIM3 · Können wir zu klaren Bedingungen teilen?</w:t>
      </w:r>
    </w:p>
    <w:p>
      <w:pPr>
        <w:spacing w:before="40" w:after="40"/>
      </w:pPr>
      <w:r>
        <w:rPr>
          <w:b w:val="0"/>
          <w:i w:val="0"/>
          <w:color w:val="646B82"/>
          <w:sz w:val="20"/>
        </w:rPr>
        <w:t xml:space="preserve">Datenaustausch   </w:t>
      </w:r>
      <w:hyperlink r:id="rId16">
        <w:r>
          <w:rPr>
            <w:color w:val="2F3F9E"/>
            <w:u w:val="single"/>
            <w:sz w:val="17.0"/>
          </w:rPr>
          <w:t>mims.oascities.org/exchanging-data</w:t>
        </w:r>
      </w:hyperlink>
    </w:p>
    <w:p>
      <w:pPr>
        <w:spacing w:before="120" w:after="200"/>
      </w:pPr>
      <w:r>
        <w:rPr>
          <w:b w:val="0"/>
          <w:i w:val="0"/>
          <w:sz w:val="20"/>
        </w:rPr>
        <w:t>Nicht alle Daten der Stadt können einfach veröffentlicht werden: manche sind geschäftlich, manche sensibel. Bei MIM3 geht es darum, die restlichen Daten dennoch sicher zu teilen: ein Katalog, den man durchsuchen kann, Lizenzen nach Vorlage statt individueller Rechtstexte und Governance-Regeln, die jeder einsehen kann. Die Spezifikation formuliert fast ganz MIM3 als Empfehlung (siehe S. 3).</w:t>
      </w:r>
    </w:p>
    <w:p>
      <w:pPr>
        <w:spacing w:before="40" w:after="20"/>
      </w:pPr>
      <w:r>
        <w:rPr>
          <w:b/>
          <w:i w:val="0"/>
          <w:color w:val="2F3F9E"/>
          <w:sz w:val="22"/>
        </w:rPr>
        <w:t xml:space="preserve">☐  </w:t>
      </w:r>
      <w:r>
        <w:rPr>
          <w:b/>
          <w:i w:val="0"/>
          <w:color w:val="2F3F9E"/>
          <w:sz w:val="20"/>
        </w:rPr>
        <w:t xml:space="preserve">3.1  </w:t>
      </w:r>
      <w:r>
        <w:rPr>
          <w:b/>
          <w:i w:val="0"/>
          <w:sz w:val="20"/>
        </w:rPr>
        <w:t>Jeder vom System bereitgestellte Datensatz ist mit Standard-Metadaten (beispielsweise DCAT-AP) in einem Katalog beschrieben, damit Dritte ihn finden können.</w:t>
      </w:r>
    </w:p>
    <w:p>
      <w:pPr>
        <w:spacing w:before="40" w:after="140"/>
      </w:pPr>
      <w:r>
        <w:rPr>
          <w:b w:val="0"/>
          <w:i/>
          <w:color w:val="646B82"/>
          <w:sz w:val="18"/>
        </w:rPr>
        <w:t xml:space="preserve">Daten, die niemand finden kann, nutzt auch niemand.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Bedingungen und Lizenzen für die Datennutzung stammen aus allgemein bekannten Vorlagen (z. B. offene Lizenzen, Standardvereinbarungen zur Datenteilung), nicht aus individuellen Rechtstexten pro Datensatz.</w:t>
      </w:r>
    </w:p>
    <w:p>
      <w:pPr>
        <w:spacing w:before="40" w:after="140"/>
      </w:pPr>
      <w:r>
        <w:rPr>
          <w:b w:val="0"/>
          <w:i/>
          <w:color w:val="646B82"/>
          <w:sz w:val="18"/>
        </w:rPr>
        <w:t xml:space="preserve">Vereinbarungen lassen sich ohne Einzelfallprüfung durch Juristen skalieren.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Die Stadt kann festlegen, wer auf welchen Datenbestand unter welchen Bedingungen zugreifen darf, und dies ohne Mitwirkung des Anbieters anpassen.</w:t>
      </w:r>
    </w:p>
    <w:p>
      <w:pPr>
        <w:spacing w:before="40" w:after="140"/>
      </w:pPr>
      <w:r>
        <w:rPr>
          <w:b w:val="0"/>
          <w:i/>
          <w:color w:val="646B82"/>
          <w:sz w:val="18"/>
        </w:rPr>
        <w:t xml:space="preserve">Die Datenhoheit verbleibt bei der Kommune.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Lokale Unternehmen und Forschung bauen auf Daten der Stadt auf – die Wertschöpfung bleibt in der Region.</w:t>
            </w:r>
          </w:p>
          <w:p>
            <w:pPr>
              <w:spacing w:before="20" w:after="60"/>
            </w:pPr>
            <w:r>
              <w:rPr>
                <w:b/>
                <w:i w:val="0"/>
                <w:color w:val="2F3F9E"/>
                <w:sz w:val="18"/>
              </w:rPr>
              <w:t xml:space="preserve">•  </w:t>
            </w:r>
            <w:r>
              <w:rPr>
                <w:b w:val="0"/>
                <w:i w:val="0"/>
                <w:sz w:val="18"/>
              </w:rPr>
              <w:t>Sensible Daten können gezielt mit den richtigen Partnern geteilt werden, statt mit allen oder niemandem.</w:t>
            </w:r>
          </w:p>
          <w:p>
            <w:pPr>
              <w:spacing w:before="20" w:after="60"/>
            </w:pPr>
            <w:r>
              <w:rPr>
                <w:b/>
                <w:i w:val="0"/>
                <w:color w:val="2F3F9E"/>
                <w:sz w:val="18"/>
              </w:rPr>
              <w:t xml:space="preserve">•  </w:t>
            </w:r>
            <w:r>
              <w:rPr>
                <w:b w:val="0"/>
                <w:i w:val="0"/>
                <w:sz w:val="18"/>
              </w:rPr>
              <w:t>Ein einheitliches Regelwerk ersetzt viele einzelne Datenüberlassungsverträge.</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Der Anbieter beansprucht Rechte an den Daten der Stadt (siehe die Klausel „Rechte an den Daten“).</w:t>
            </w:r>
          </w:p>
          <w:p>
            <w:pPr>
              <w:spacing w:before="20" w:after="60"/>
            </w:pPr>
            <w:r>
              <w:rPr>
                <w:b/>
                <w:i w:val="0"/>
                <w:color w:val="A02020"/>
                <w:sz w:val="18"/>
              </w:rPr>
              <w:t xml:space="preserve">•  </w:t>
            </w:r>
            <w:r>
              <w:rPr>
                <w:b w:val="0"/>
                <w:i w:val="0"/>
                <w:sz w:val="18"/>
              </w:rPr>
              <w:t>Die Weitergabe an Dritte erfordert die Zustimmung oder Gebühren des Anbieters.</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Governance-Regeln für das Datenaustausch-Ökosystem können definiert werden</w:t>
            </w:r>
          </w:p>
        </w:tc>
        <w:tc>
          <w:tcPr>
            <w:tcW w:type="dxa" w:w="4422"/>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4422"/>
          </w:tcPr>
          <w:p>
            <w:r>
              <w:rPr>
                <w:b w:val="0"/>
                <w:i w:val="0"/>
                <w:sz w:val="16"/>
              </w:rPr>
              <w:t>Der Orchestrator eines Datenökosystems sollte in der Lage sein, ein Governance-Modell (z. B. ein Regelwerk) zu definieren, das Mitgliedschaftsregeln, die Rollen, Verantwortlichkeiten und Pflichten der Ökosystemteilnehmer sowie die allgemeinen Grundsätze für den Datenaustausch zwischen ihnen festlegt.</w:t>
            </w:r>
          </w:p>
        </w:tc>
        <w:tc>
          <w:tcPr>
            <w:tcW w:type="dxa" w:w="4422"/>
          </w:tcPr>
          <w:p>
            <w:r>
              <w:rPr>
                <w:b w:val="0"/>
                <w:i w:val="0"/>
                <w:color w:val="646B82"/>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4422"/>
          </w:tcPr>
          <w:p>
            <w:r>
              <w:rPr>
                <w:b w:val="0"/>
                <w:i w:val="0"/>
                <w:sz w:val="16"/>
              </w:rPr>
              <w:t>Mitglieder, die an einem Datenökosystem teilnehmen, sollten dessen Governance-Modell und alle daran vorgenommenen Änderungen kennen.</w:t>
            </w:r>
          </w:p>
        </w:tc>
        <w:tc>
          <w:tcPr>
            <w:tcW w:type="dxa" w:w="4422"/>
          </w:tcPr>
          <w:p>
            <w:r>
              <w:rPr>
                <w:b w:val="0"/>
                <w:i w:val="0"/>
                <w:color w:val="646B82"/>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4422"/>
          </w:tcPr>
          <w:p>
            <w:r>
              <w:rPr>
                <w:b w:val="0"/>
                <w:i w:val="0"/>
                <w:sz w:val="16"/>
              </w:rPr>
              <w:t>Das Governance-Modell sollte für alle Ökosystemteilnehmer leicht verständlich sein.</w:t>
            </w:r>
          </w:p>
        </w:tc>
        <w:tc>
          <w:tcPr>
            <w:tcW w:type="dxa" w:w="4422"/>
          </w:tcPr>
          <w:p>
            <w:r>
              <w:rPr>
                <w:b w:val="0"/>
                <w:i w:val="0"/>
                <w:color w:val="646B82"/>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Bedingungen für den Datenaustausch können definiert werden</w:t>
            </w:r>
          </w:p>
        </w:tc>
        <w:tc>
          <w:tcPr>
            <w:tcW w:type="dxa" w:w="4422"/>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4422"/>
          </w:tcPr>
          <w:p>
            <w:r>
              <w:rPr>
                <w:b w:val="0"/>
                <w:i w:val="0"/>
                <w:sz w:val="16"/>
              </w:rPr>
              <w:t>Datenbereitsteller sind frei darin, Bedingungen festzulegen, unter denen ihre Daten ausgetauscht werden sollen. (Hinweis: Vor der Bereitstellung von Datenbeständen sollten Datenbereitsteller sicherstellen, dass sie über die entsprechende Erlaubnis der Dateneigentümer verfügen.)</w:t>
            </w:r>
          </w:p>
        </w:tc>
        <w:tc>
          <w:tcPr>
            <w:tcW w:type="dxa" w:w="4422"/>
          </w:tcPr>
          <w:p>
            <w:r>
              <w:rPr>
                <w:b w:val="0"/>
                <w:i w:val="0"/>
                <w:color w:val="646B82"/>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4422"/>
          </w:tcPr>
          <w:p>
            <w:r>
              <w:rPr>
                <w:b w:val="0"/>
                <w:i w:val="0"/>
                <w:sz w:val="16"/>
              </w:rPr>
              <w:t>Bedingungen für einen Datenaustausch sollten klar und unmissverständlich beschrieben sein, sodass sie für Datennutzer leicht verständlich sind.</w:t>
            </w:r>
          </w:p>
        </w:tc>
        <w:tc>
          <w:tcPr>
            <w:tcW w:type="dxa" w:w="4422"/>
          </w:tcPr>
          <w:p>
            <w:r>
              <w:rPr>
                <w:b w:val="0"/>
                <w:i w:val="0"/>
                <w:color w:val="646B82"/>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4422"/>
          </w:tcPr>
          <w:p>
            <w:r>
              <w:rPr>
                <w:b w:val="0"/>
                <w:i w:val="0"/>
                <w:sz w:val="16"/>
              </w:rPr>
              <w:t>Bedingungen für einen Datenaustausch sollten durch Datenlizenzen oder Datenaustauschvereinbarungen auf der Grundlage klar definierter Vorlagen oder Standards ausgedrückt werden.</w:t>
            </w:r>
          </w:p>
        </w:tc>
        <w:tc>
          <w:tcPr>
            <w:tcW w:type="dxa" w:w="4422"/>
          </w:tcPr>
          <w:p>
            <w:r>
              <w:rPr>
                <w:b w:val="0"/>
                <w:i w:val="0"/>
                <w:color w:val="646B82"/>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4422"/>
          </w:tcPr>
          <w:p>
            <w:r>
              <w:rPr>
                <w:b w:val="0"/>
                <w:i w:val="0"/>
                <w:sz w:val="16"/>
              </w:rPr>
              <w:t>Bedingungen sollten im Einklang mit dem allgemeinen Governance-Modell des Datenökosystems stehen und dürfen nicht im Widerspruch dazu stehen. (Hinweis: Ein Datenbereitsteller kann entscheiden, nicht an einem Datenökosystem teilzunehmen, wenn das zugrunde liegende Governance-Modell zu restriktiv oder zu freizügig ist.)</w:t>
            </w:r>
          </w:p>
        </w:tc>
        <w:tc>
          <w:tcPr>
            <w:tcW w:type="dxa" w:w="4422"/>
          </w:tcPr>
          <w:p>
            <w:r>
              <w:rPr>
                <w:b w:val="0"/>
                <w:i w:val="0"/>
                <w:color w:val="646B82"/>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Die Einhaltung von Bedingungen für den Datenaustausch kann validiert werden</w:t>
            </w:r>
          </w:p>
        </w:tc>
        <w:tc>
          <w:tcPr>
            <w:tcW w:type="dxa" w:w="4422"/>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4422"/>
          </w:tcPr>
          <w:p>
            <w:r>
              <w:rPr>
                <w:b w:val="0"/>
                <w:i w:val="0"/>
                <w:sz w:val="16"/>
              </w:rPr>
              <w:t>Der Orchestrator eines Datenökosystems muss in der Lage sein, die Einhaltung des zugrunde liegenden Governance-Modells durch seine Teilnehmer zu überprüfen.</w:t>
            </w:r>
          </w:p>
        </w:tc>
        <w:tc>
          <w:tcPr>
            <w:tcW w:type="dxa" w:w="4422"/>
          </w:tcPr>
          <w:p>
            <w:r>
              <w:rPr>
                <w:b w:val="0"/>
                <w:i w:val="0"/>
                <w:color w:val="646B82"/>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4422"/>
          </w:tcPr>
          <w:p>
            <w:r>
              <w:rPr>
                <w:b w:val="0"/>
                <w:i w:val="0"/>
                <w:sz w:val="16"/>
              </w:rPr>
              <w:t>Datenbereitsteller sollten in der Lage sein zu überprüfen, ob die Nutzung von Daten durch einen Datennutzer den zuvor vereinbarten Bedingungen entspricht.</w:t>
            </w:r>
          </w:p>
        </w:tc>
        <w:tc>
          <w:tcPr>
            <w:tcW w:type="dxa" w:w="4422"/>
          </w:tcPr>
          <w:p>
            <w:r>
              <w:rPr>
                <w:b w:val="0"/>
                <w:i w:val="0"/>
                <w:color w:val="646B82"/>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4422"/>
          </w:tcPr>
          <w:p>
            <w:r>
              <w:rPr>
                <w:b w:val="0"/>
                <w:i w:val="0"/>
                <w:sz w:val="16"/>
              </w:rPr>
              <w:t>Datennutzer sollten in der Lage sein zu überprüfen, ob die Bereitstellung von Daten durch den Datenbereitsteller den zuvor vereinbarten Bedingungen folgt.</w:t>
            </w:r>
          </w:p>
        </w:tc>
        <w:tc>
          <w:tcPr>
            <w:tcW w:type="dxa" w:w="4422"/>
          </w:tcPr>
          <w:p>
            <w:r>
              <w:rPr>
                <w:b w:val="0"/>
                <w:i w:val="0"/>
                <w:color w:val="646B82"/>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Verfügbare Datenbestände können aufgefunden werden</w:t>
            </w:r>
          </w:p>
        </w:tc>
        <w:tc>
          <w:tcPr>
            <w:tcW w:type="dxa" w:w="4422"/>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4422"/>
          </w:tcPr>
          <w:p>
            <w:r>
              <w:rPr>
                <w:b w:val="0"/>
                <w:i w:val="0"/>
                <w:sz w:val="16"/>
              </w:rPr>
              <w:t>Datennutzer sollten in der Lage sein, ohne Vorwissen zu ermitteln, welche Daten in einem Datenaustausch-Ökosystem verfügbar sind.</w:t>
            </w:r>
          </w:p>
        </w:tc>
        <w:tc>
          <w:tcPr>
            <w:tcW w:type="dxa" w:w="4422"/>
          </w:tcPr>
          <w:p>
            <w:r>
              <w:rPr>
                <w:b w:val="0"/>
                <w:i w:val="0"/>
                <w:color w:val="646B82"/>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4422"/>
          </w:tcPr>
          <w:p>
            <w:r>
              <w:rPr>
                <w:b w:val="0"/>
                <w:i w:val="0"/>
                <w:sz w:val="16"/>
              </w:rPr>
              <w:t>Datenbestände sollten mit Metadaten adäquat beschrieben sein, sodass Datennutzer verlässliche Entscheidungen über deren beabsichtigte Weiterverwendung treffen können.</w:t>
            </w:r>
          </w:p>
        </w:tc>
        <w:tc>
          <w:tcPr>
            <w:tcW w:type="dxa" w:w="4422"/>
          </w:tcPr>
          <w:p>
            <w:r>
              <w:rPr>
                <w:b w:val="0"/>
                <w:i w:val="0"/>
                <w:color w:val="646B82"/>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4422"/>
          </w:tcPr>
          <w:p>
            <w:r>
              <w:rPr>
                <w:b w:val="0"/>
                <w:i w:val="0"/>
                <w:sz w:val="16"/>
              </w:rPr>
              <w:t>Zur Beschreibung von Datenbeständen verwendete Metadaten sollten auf klar definierten, leicht verständlichen Beschreibungsformaten basieren, die sowohl menschen- als auch maschinenlesbar sind.</w:t>
            </w:r>
          </w:p>
        </w:tc>
        <w:tc>
          <w:tcPr>
            <w:tcW w:type="dxa" w:w="4422"/>
          </w:tcPr>
          <w:p>
            <w:r>
              <w:rPr>
                <w:b w:val="0"/>
                <w:i w:val="0"/>
                <w:color w:val="646B82"/>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Ökosystemteilnehmer können aufgefunden werden</w:t>
            </w:r>
          </w:p>
        </w:tc>
        <w:tc>
          <w:tcPr>
            <w:tcW w:type="dxa" w:w="4422"/>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4422"/>
          </w:tcPr>
          <w:p>
            <w:r>
              <w:rPr>
                <w:b w:val="0"/>
                <w:i w:val="0"/>
                <w:sz w:val="16"/>
              </w:rPr>
              <w:t>Ökosystemteilnehmer (z. B. Datennutzer und Datenbereitsteller) sollten in der Lage sein, einander innerhalb eines Datenaustausch-Ökosystems aufzufinden.</w:t>
            </w:r>
          </w:p>
        </w:tc>
        <w:tc>
          <w:tcPr>
            <w:tcW w:type="dxa" w:w="4422"/>
          </w:tcPr>
          <w:p>
            <w:r>
              <w:rPr>
                <w:b w:val="0"/>
                <w:i w:val="0"/>
                <w:color w:val="646B82"/>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4422"/>
          </w:tcPr>
          <w:p>
            <w:r>
              <w:rPr>
                <w:b w:val="0"/>
                <w:i w:val="0"/>
                <w:sz w:val="16"/>
              </w:rPr>
              <w:t>Über jeden Ökosystemteilnehmer sollten ausreichende Metadaten verfügbar sein, um dessen Vertrauenswürdigkeit für den Datenaustausch festzustellen.</w:t>
            </w:r>
          </w:p>
        </w:tc>
        <w:tc>
          <w:tcPr>
            <w:tcW w:type="dxa" w:w="4422"/>
          </w:tcPr>
          <w:p>
            <w:r>
              <w:rPr>
                <w:b w:val="0"/>
                <w:i w:val="0"/>
                <w:color w:val="646B82"/>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4422"/>
          </w:tcPr>
          <w:p>
            <w:r>
              <w:rPr>
                <w:b w:val="0"/>
                <w:i w:val="0"/>
                <w:sz w:val="16"/>
              </w:rPr>
              <w:t>Datenbereitsteller sollten in der Lage sein, Datennutzer, die auf ihre Datenbestände zugreifen wollen, zuverlässig zu identifizieren und deren Metadaten vor der Gewährung des Zugriffs zu überprüfen.</w:t>
            </w:r>
          </w:p>
        </w:tc>
        <w:tc>
          <w:tcPr>
            <w:tcW w:type="dxa" w:w="4422"/>
          </w:tcPr>
          <w:p>
            <w:r>
              <w:rPr>
                <w:b w:val="0"/>
                <w:i w:val="0"/>
                <w:color w:val="646B82"/>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4422"/>
          </w:tcPr>
          <w:p>
            <w:r>
              <w:rPr>
                <w:b w:val="0"/>
                <w:i w:val="0"/>
                <w:sz w:val="16"/>
              </w:rPr>
              <w:t>Datennutzer sollten in der Lage sein, Datenbereitsteller, die Daten in einem Datenökosystem teilen, vor dem Zugriff auf diese Daten oder deren Nutzung zu identifizieren.</w:t>
            </w:r>
          </w:p>
        </w:tc>
        <w:tc>
          <w:tcPr>
            <w:tcW w:type="dxa" w:w="4422"/>
          </w:tcPr>
          <w:p>
            <w:r>
              <w:rPr>
                <w:b w:val="0"/>
                <w:i w:val="0"/>
                <w:color w:val="646B82"/>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4422"/>
          </w:tcPr>
          <w:p>
            <w:r>
              <w:rPr>
                <w:b w:val="0"/>
                <w:i w:val="0"/>
                <w:sz w:val="16"/>
              </w:rPr>
              <w:t>Ökosystemteilnehmer können sich auch dafür entscheiden, anonym zu bleiben, sofern das Governance-Modell des Datenaustausch-Ökosystems dies zulässt. In diesem Fall können RC5.1 bis RC5.4 unberücksichtigt bleiben.</w:t>
            </w:r>
          </w:p>
        </w:tc>
        <w:tc>
          <w:tcPr>
            <w:tcW w:type="dxa" w:w="4422"/>
          </w:tcPr>
          <w:p>
            <w:r>
              <w:rPr>
                <w:b w:val="0"/>
                <w:i w:val="0"/>
                <w:color w:val="646B82"/>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Ein Datenaustausch kann vereinbart werden</w:t>
            </w:r>
          </w:p>
        </w:tc>
        <w:tc>
          <w:tcPr>
            <w:tcW w:type="dxa" w:w="4422"/>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4422"/>
          </w:tcPr>
          <w:p>
            <w:r>
              <w:rPr>
                <w:b w:val="0"/>
                <w:i w:val="0"/>
                <w:sz w:val="16"/>
              </w:rPr>
              <w:t>Datennutzer und Datenbereitsteller sollten in der Lage sein, einen Datenaustausch und die damit verbundenen Bedingungen zu vereinbaren (z. B. Annahme von Bedingungen, rechtsgültige Unterzeichnung einer Vereinbarung oder Verhandlung).</w:t>
            </w:r>
          </w:p>
        </w:tc>
        <w:tc>
          <w:tcPr>
            <w:tcW w:type="dxa" w:w="4422"/>
          </w:tcPr>
          <w:p>
            <w:r>
              <w:rPr>
                <w:b w:val="0"/>
                <w:i w:val="0"/>
                <w:color w:val="646B82"/>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4422"/>
          </w:tcPr>
          <w:p>
            <w:r>
              <w:rPr>
                <w:b w:val="0"/>
                <w:i w:val="0"/>
                <w:sz w:val="16"/>
              </w:rPr>
              <w:t>Datennutzer und Datenbereitsteller sollten in der Lage sein, einen zuvor vereinbarten Datenaustausch gemäß den damit verbundenen Bedingungen zu beenden.</w:t>
            </w:r>
          </w:p>
        </w:tc>
        <w:tc>
          <w:tcPr>
            <w:tcW w:type="dxa" w:w="4422"/>
          </w:tcPr>
          <w:p>
            <w:r>
              <w:rPr>
                <w:b w:val="0"/>
                <w:i w:val="0"/>
                <w:color w:val="646B82"/>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4422"/>
          </w:tcPr>
          <w:p>
            <w:r>
              <w:rPr>
                <w:b w:val="0"/>
                <w:i w:val="0"/>
                <w:sz w:val="16"/>
              </w:rPr>
              <w:t>Wo möglich können elektronische Mittel für die Vereinbarung und Beendigung eines Datenaustauschs bereitgestellt werden.</w:t>
            </w:r>
          </w:p>
        </w:tc>
        <w:tc>
          <w:tcPr>
            <w:tcW w:type="dxa" w:w="4422"/>
          </w:tcPr>
          <w:p>
            <w:r>
              <w:rPr>
                <w:b w:val="0"/>
                <w:i w:val="0"/>
                <w:color w:val="646B82"/>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4422"/>
            <w:shd w:val="clear" w:fill="EEF0FB"/>
          </w:tcPr>
          <w:p>
            <w:r>
              <w:rPr>
                <w:b/>
                <w:i w:val="0"/>
                <w:color w:val="2F3F9E"/>
                <w:sz w:val="16"/>
              </w:rPr>
              <w:t>Neue, derzeit nicht verfügbare Daten können angefordert werden</w:t>
            </w:r>
          </w:p>
        </w:tc>
        <w:tc>
          <w:tcPr>
            <w:tcW w:type="dxa" w:w="4422"/>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4422"/>
          </w:tcPr>
          <w:p>
            <w:r>
              <w:rPr>
                <w:b w:val="0"/>
                <w:i w:val="0"/>
                <w:sz w:val="16"/>
              </w:rPr>
              <w:t>Datennutzer sollten in der Lage sein, ihr Interesse an Datenbeständen zu bekunden, die derzeit im Datenaustausch-Ökosystem nicht verfügbar sind.</w:t>
            </w:r>
          </w:p>
        </w:tc>
        <w:tc>
          <w:tcPr>
            <w:tcW w:type="dxa" w:w="4422"/>
          </w:tcPr>
          <w:p>
            <w:r>
              <w:rPr>
                <w:b w:val="0"/>
                <w:i w:val="0"/>
                <w:color w:val="646B82"/>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4422"/>
          </w:tcPr>
          <w:p>
            <w:r>
              <w:rPr>
                <w:b w:val="0"/>
                <w:i w:val="0"/>
                <w:sz w:val="16"/>
              </w:rPr>
              <w:t>Datenbereitsteller sollten in der Lage sein, Anfragen von Datennutzern nach neuen Datenbeständen zu erhalten.</w:t>
            </w:r>
          </w:p>
        </w:tc>
        <w:tc>
          <w:tcPr>
            <w:tcW w:type="dxa" w:w="4422"/>
          </w:tcPr>
          <w:p>
            <w:r>
              <w:rPr>
                <w:b w:val="0"/>
                <w:i w:val="0"/>
                <w:color w:val="646B82"/>
                <w:sz w:val="16"/>
              </w:rPr>
              <w:t>Data providers should be able to obtain requests made by data users for new data assets.</w:t>
            </w:r>
          </w:p>
        </w:tc>
      </w:tr>
    </w:tbl>
    <w:p>
      <w:pPr>
        <w:spacing w:before="160" w:after="40"/>
      </w:pPr>
      <w:r>
        <w:rPr>
          <w:b w:val="0"/>
          <w:i w:val="0"/>
          <w:color w:val="646B82"/>
          <w:sz w:val="18"/>
        </w:rPr>
        <w:t xml:space="preserve">Vollständige Spezifikation: </w:t>
      </w:r>
      <w:hyperlink r:id="rId16">
        <w:r>
          <w:rPr>
            <w:color w:val="2F3F9E"/>
            <w:u w:val="single"/>
            <w:sz w:val="18"/>
          </w:rPr>
          <w:t>https://mims.oascities.org/exchanging-data</w:t>
        </w:r>
      </w:hyperlink>
    </w:p>
    <w:p>
      <w:r>
        <w:br w:type="page"/>
      </w:r>
    </w:p>
    <w:p>
      <w:pPr>
        <w:spacing w:before="120" w:after="40"/>
      </w:pPr>
      <w:r>
        <w:rPr>
          <w:b/>
          <w:i w:val="0"/>
          <w:color w:val="2F3F9E"/>
          <w:sz w:val="36"/>
        </w:rPr>
        <w:t>MIM6 · Sind unsere Daten geschützt?</w:t>
      </w:r>
    </w:p>
    <w:p>
      <w:pPr>
        <w:spacing w:before="40" w:after="40"/>
      </w:pPr>
      <w:r>
        <w:rPr>
          <w:b w:val="0"/>
          <w:i w:val="0"/>
          <w:color w:val="646B82"/>
          <w:sz w:val="20"/>
        </w:rPr>
        <w:t xml:space="preserve">Datensicherheit   </w:t>
      </w:r>
      <w:hyperlink r:id="rId17">
        <w:r>
          <w:rPr>
            <w:color w:val="2F3F9E"/>
            <w:u w:val="single"/>
            <w:sz w:val="17.0"/>
          </w:rPr>
          <w:t>mims.oascities.org/securing-data</w:t>
        </w:r>
      </w:hyperlink>
    </w:p>
    <w:p>
      <w:pPr>
        <w:spacing w:before="120" w:after="200"/>
      </w:pPr>
      <w:r>
        <w:rPr>
          <w:b w:val="0"/>
          <w:i w:val="0"/>
          <w:sz w:val="20"/>
        </w:rPr>
        <w:t>Smart Cities sind Angriffsziele. MIM6 setzt den Rahmen bewusst eng und praxisnah: Verschlüsselung bei der Übertragung, Standard-Logins statt proprietärer Systeme, nachvollziehbare Zugriffskontrolle und Protokollierung. Nichts davon ist exotisch – alles gehört in den Vertrag.</w:t>
      </w:r>
    </w:p>
    <w:p>
      <w:pPr>
        <w:spacing w:before="40" w:after="20"/>
      </w:pPr>
      <w:r>
        <w:rPr>
          <w:b/>
          <w:i w:val="0"/>
          <w:color w:val="2F3F9E"/>
          <w:sz w:val="22"/>
        </w:rPr>
        <w:t xml:space="preserve">☐  </w:t>
      </w:r>
      <w:r>
        <w:rPr>
          <w:b/>
          <w:i w:val="0"/>
          <w:color w:val="2F3F9E"/>
          <w:sz w:val="20"/>
        </w:rPr>
        <w:t xml:space="preserve">6.1  </w:t>
      </w:r>
      <w:r>
        <w:rPr>
          <w:b/>
          <w:i w:val="0"/>
          <w:sz w:val="20"/>
        </w:rPr>
        <w:t>Jegliche Datenübertragung ist verschlüsselt (TLS 1.3 oder nach aktuellem Stand der Technik).</w:t>
      </w:r>
    </w:p>
    <w:p>
      <w:pPr>
        <w:spacing w:before="40" w:after="140"/>
      </w:pPr>
      <w:r>
        <w:rPr>
          <w:b w:val="0"/>
          <w:i/>
          <w:color w:val="646B82"/>
          <w:sz w:val="18"/>
        </w:rPr>
        <w:t xml:space="preserve">Grundlegende IT-Hygiene; auch von NIS-2 verlangt, sofern für Sie zutreffend.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Anmeldung und Maschinenzugriff nutzen offene Standards – OAuth 2.0 / OpenID Connect – und lassen sich an den Identitätsanbieter der Stadt anbinden.</w:t>
      </w:r>
    </w:p>
    <w:p>
      <w:pPr>
        <w:spacing w:before="40" w:after="140"/>
      </w:pPr>
      <w:r>
        <w:rPr>
          <w:b w:val="0"/>
          <w:i/>
          <w:color w:val="646B82"/>
          <w:sz w:val="18"/>
        </w:rPr>
        <w:t xml:space="preserve">Ein Konto pro Beschäftigtem statt pro Anbieterprodukt; Ausscheidende verlieren alle Zugänge gleichzeitig.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Zugriffsrechte sind rollenbasiert, überprüfbar und entziehbar; Zugriffe und Administratoraktionen werden protokolliert.</w:t>
      </w:r>
    </w:p>
    <w:p>
      <w:pPr>
        <w:spacing w:before="40" w:after="140"/>
      </w:pPr>
      <w:r>
        <w:rPr>
          <w:b w:val="0"/>
          <w:i/>
          <w:color w:val="646B82"/>
          <w:sz w:val="18"/>
        </w:rPr>
        <w:t xml:space="preserve">Audits und Incident Response werden möglich. Protokollierung entspricht ISO/IEC 27001:2022, Anhang A, Maßnahme 8.15, die MIM6 als Voraussetzung aufführt.   </w:t>
      </w:r>
      <w:r>
        <w:rPr>
          <w:b w:val="0"/>
          <w:i w:val="0"/>
          <w:color w:val="0B7485"/>
          <w:sz w:val="16"/>
        </w:rPr>
        <w:t>→ MIM6 R1.1, R1.3, 8.15</w:t>
      </w:r>
    </w:p>
    <w:p>
      <w:pPr>
        <w:spacing w:before="40" w:after="0"/>
      </w:pPr>
      <w:r>
        <w:rPr>
          <w:b/>
          <w:i w:val="0"/>
          <w:color w:val="0B7485"/>
          <w:sz w:val="16"/>
        </w:rPr>
        <w:t>GEHÖRT IN DIE TEILNAHMEBEDINGUNGEN, NICHT IN DIE LEISTUNGSBESCHREIBUNG</w:t>
      </w:r>
    </w:p>
    <w:p>
      <w:pPr>
        <w:spacing w:before="40" w:after="20"/>
      </w:pPr>
      <w:r>
        <w:rPr>
          <w:b/>
          <w:i w:val="0"/>
          <w:color w:val="2F3F9E"/>
          <w:sz w:val="22"/>
        </w:rPr>
        <w:t xml:space="preserve">☐  </w:t>
      </w:r>
      <w:r>
        <w:rPr>
          <w:b/>
          <w:i w:val="0"/>
          <w:color w:val="2F3F9E"/>
          <w:sz w:val="20"/>
        </w:rPr>
        <w:t xml:space="preserve">6.4  </w:t>
      </w:r>
      <w:r>
        <w:rPr>
          <w:b/>
          <w:i w:val="0"/>
          <w:sz w:val="20"/>
        </w:rPr>
        <w:t>Der Bieter weist die Ausrichtung an ISO/IEC 27001:2022 (oder gleichwertig) für den von ihm betriebenen Dienst nach.</w:t>
      </w:r>
    </w:p>
    <w:p>
      <w:pPr>
        <w:spacing w:before="40" w:after="140"/>
      </w:pPr>
      <w:r>
        <w:rPr>
          <w:b w:val="0"/>
          <w:i/>
          <w:color w:val="646B82"/>
          <w:sz w:val="18"/>
        </w:rPr>
        <w:t xml:space="preserve">Sicherheit ist ein Prozess, kein Prüfpunkt bei Lieferung. Die Spezifikation verweist auf Maßnahmen nach ISO/IEC 27001, kein Zertifikat.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Eine Schwachstelle in einem System öffnet nicht automatisch jedes System.</w:t>
            </w:r>
          </w:p>
          <w:p>
            <w:pPr>
              <w:spacing w:before="20" w:after="60"/>
            </w:pPr>
            <w:r>
              <w:rPr>
                <w:b/>
                <w:i w:val="0"/>
                <w:color w:val="2F3F9E"/>
                <w:sz w:val="18"/>
              </w:rPr>
              <w:t xml:space="preserve">•  </w:t>
            </w:r>
            <w:r>
              <w:rPr>
                <w:b w:val="0"/>
                <w:i w:val="0"/>
                <w:sz w:val="18"/>
              </w:rPr>
              <w:t>Gilt NIS-2 für Sie, wird die Einhaltung der Richtlinie und nationaler Sicherheitsvorgaben spürbar einfacher.</w:t>
            </w:r>
          </w:p>
          <w:p>
            <w:pPr>
              <w:spacing w:before="20" w:after="60"/>
            </w:pPr>
            <w:r>
              <w:rPr>
                <w:b/>
                <w:i w:val="0"/>
                <w:color w:val="2F3F9E"/>
                <w:sz w:val="18"/>
              </w:rPr>
              <w:t xml:space="preserve">•  </w:t>
            </w:r>
            <w:r>
              <w:rPr>
                <w:b w:val="0"/>
                <w:i w:val="0"/>
                <w:sz w:val="18"/>
              </w:rPr>
              <w:t>Nach einem Sicherheitsvorfall belegen die Protokolle, was geschehen ist und wer gehandelt hat.</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Nur proprietäre Anmeldung.</w:t>
            </w:r>
          </w:p>
          <w:p>
            <w:pPr>
              <w:spacing w:before="20" w:after="60"/>
            </w:pPr>
            <w:r>
              <w:rPr>
                <w:b/>
                <w:i w:val="0"/>
                <w:color w:val="A02020"/>
                <w:sz w:val="18"/>
              </w:rPr>
              <w:t xml:space="preserve">•  </w:t>
            </w:r>
            <w:r>
              <w:rPr>
                <w:b w:val="0"/>
                <w:i w:val="0"/>
                <w:sz w:val="18"/>
              </w:rPr>
              <w:t>„Protokolle auf Anfrage verfügbar.“</w:t>
            </w:r>
          </w:p>
          <w:p>
            <w:pPr>
              <w:spacing w:before="20" w:after="60"/>
            </w:pPr>
            <w:r>
              <w:rPr>
                <w:b/>
                <w:i w:val="0"/>
                <w:color w:val="A02020"/>
                <w:sz w:val="18"/>
              </w:rPr>
              <w:t xml:space="preserve">•  </w:t>
            </w:r>
            <w:r>
              <w:rPr>
                <w:b w:val="0"/>
                <w:i w:val="0"/>
                <w:sz w:val="18"/>
              </w:rPr>
              <w:t>Geteilte Administratorkonten.</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Daten sind nur für Nutzer zugänglich, die darauf Zugriff haben sollten</w:t>
            </w:r>
          </w:p>
        </w:tc>
        <w:tc>
          <w:tcPr>
            <w:tcW w:type="dxa" w:w="4422"/>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4422"/>
          </w:tcPr>
          <w:p>
            <w:r>
              <w:rPr>
                <w:b w:val="0"/>
                <w:i w:val="0"/>
                <w:sz w:val="16"/>
              </w:rPr>
              <w:t>Regeln zur Steuerung des physischen und logischen Zugriffs auf Informationen und andere zugehörige Werte MÜSSEN auf Grundlage von Geschäfts- und Informationssicherheitsanforderungen aufgestellt und umgesetzt werden. (ISO 27001 5.15 Zugriffskontrolle)</w:t>
            </w:r>
          </w:p>
        </w:tc>
        <w:tc>
          <w:tcPr>
            <w:tcW w:type="dxa" w:w="4422"/>
          </w:tcPr>
          <w:p>
            <w:r>
              <w:rPr>
                <w:b w:val="0"/>
                <w:i w:val="0"/>
                <w:color w:val="646B82"/>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4422"/>
          </w:tcPr>
          <w:p>
            <w:r>
              <w:rPr>
                <w:b w:val="0"/>
                <w:i w:val="0"/>
                <w:sz w:val="16"/>
              </w:rPr>
              <w:t>Die Zuweisung und Verwaltung von Authentifizierungsinformationen MUSS durch einen Managementprozess gesteuert werden, einschließlich der Unterweisung des Personals zum angemessenen Umgang mit Authentifizierungsinformationen. (ISO 27001 5.17: Authentifizierungsinformationen)</w:t>
            </w:r>
          </w:p>
        </w:tc>
        <w:tc>
          <w:tcPr>
            <w:tcW w:type="dxa" w:w="4422"/>
          </w:tcPr>
          <w:p>
            <w:r>
              <w:rPr>
                <w:b w:val="0"/>
                <w:i w:val="0"/>
                <w:color w:val="646B82"/>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4422"/>
          </w:tcPr>
          <w:p>
            <w:r>
              <w:rPr>
                <w:b w:val="0"/>
                <w:i w:val="0"/>
                <w:sz w:val="16"/>
              </w:rPr>
              <w:t>Zugriffsrechte auf Informationen und andere zugehörige Werte MÜSSEN in Übereinstimmung mit der themenspezifischen Richtlinie und den Regeln der Organisation zur Zugriffskontrolle bereitgestellt, überprüft, geändert und entzogen werden. (ISO 27001 5.18: Zugriffsrechte)</w:t>
            </w:r>
          </w:p>
        </w:tc>
        <w:tc>
          <w:tcPr>
            <w:tcW w:type="dxa" w:w="4422"/>
          </w:tcPr>
          <w:p>
            <w:r>
              <w:rPr>
                <w:b w:val="0"/>
                <w:i w:val="0"/>
                <w:color w:val="646B82"/>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Daten, auf die Nutzer zugreifen, wurden nicht verändert</w:t>
            </w:r>
          </w:p>
        </w:tc>
        <w:tc>
          <w:tcPr>
            <w:tcW w:type="dxa" w:w="4422"/>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4422"/>
          </w:tcPr>
          <w:p>
            <w:r>
              <w:rPr>
                <w:b w:val="0"/>
                <w:i w:val="0"/>
                <w:sz w:val="16"/>
              </w:rPr>
              <w:t>Regeln für den wirksamen Einsatz von Kryptographie, einschließlich des kryptographischen Schlüsselmanagements, MÜSSEN definiert und umgesetzt werden. (ISO 27001 8.24 Einsatz von Kryptographie)</w:t>
            </w:r>
          </w:p>
        </w:tc>
        <w:tc>
          <w:tcPr>
            <w:tcW w:type="dxa" w:w="4422"/>
          </w:tcPr>
          <w:p>
            <w:r>
              <w:rPr>
                <w:b w:val="0"/>
                <w:i w:val="0"/>
                <w:color w:val="646B82"/>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Daten, auf die Nutzer zugreifen, stammen aus einer verifizierten Quelle</w:t>
            </w:r>
          </w:p>
        </w:tc>
        <w:tc>
          <w:tcPr>
            <w:tcW w:type="dxa" w:w="4422"/>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4422"/>
          </w:tcPr>
          <w:p>
            <w:r>
              <w:rPr>
                <w:b w:val="0"/>
                <w:i w:val="0"/>
                <w:sz w:val="16"/>
              </w:rPr>
              <w:t>Sichere Authentifizierungstechnologien und -verfahren müssen auf Grundlage von Informationszugriffsbeschränkungen und der themenspezifischen Richtlinie zur Zugriffskontrolle umgesetzt werden. (ISO 27001 8.5 Sichere Authentifizierung)</w:t>
            </w:r>
          </w:p>
        </w:tc>
        <w:tc>
          <w:tcPr>
            <w:tcW w:type="dxa" w:w="4422"/>
          </w:tcPr>
          <w:p>
            <w:r>
              <w:rPr>
                <w:b w:val="0"/>
                <w:i w:val="0"/>
                <w:color w:val="646B82"/>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4422"/>
            <w:shd w:val="clear" w:fill="EEF0FB"/>
          </w:tcPr>
          <w:p>
            <w:r>
              <w:rPr>
                <w:b/>
                <w:i w:val="0"/>
                <w:color w:val="2F3F9E"/>
                <w:sz w:val="16"/>
              </w:rPr>
              <w:t>Mechanismus-Kandidat</w:t>
            </w:r>
          </w:p>
        </w:tc>
        <w:tc>
          <w:tcPr>
            <w:tcW w:type="dxa" w:w="4422"/>
            <w:shd w:val="clear" w:fill="EEF0FB"/>
          </w:tcPr>
          <w:p>
            <w:r>
              <w:rPr>
                <w:b/>
                <w:i w:val="0"/>
                <w:color w:val="2F3F9E"/>
                <w:sz w:val="16"/>
              </w:rPr>
              <w:t>Mechanism candidate</w:t>
            </w:r>
          </w:p>
        </w:tc>
      </w:tr>
      <w:tr>
        <w:tc>
          <w:tcPr>
            <w:tcW w:type="dxa" w:w="794"/>
          </w:tcPr>
          <w:p>
            <w:r>
              <w:rPr>
                <w:b/>
                <w:i w:val="0"/>
                <w:color w:val="0B7485"/>
                <w:sz w:val="16"/>
              </w:rPr>
              <w:t>M1.1</w:t>
            </w:r>
          </w:p>
        </w:tc>
        <w:tc>
          <w:tcPr>
            <w:tcW w:type="dxa" w:w="4422"/>
          </w:tcPr>
          <w:p>
            <w:r>
              <w:rPr>
                <w:b w:val="0"/>
                <w:i w:val="0"/>
                <w:sz w:val="16"/>
              </w:rPr>
              <w:t>Das Protokoll Transport Layer Security (TLS), Version 1.3</w:t>
            </w:r>
          </w:p>
        </w:tc>
        <w:tc>
          <w:tcPr>
            <w:tcW w:type="dxa" w:w="4422"/>
          </w:tcPr>
          <w:p>
            <w:r>
              <w:rPr>
                <w:b w:val="0"/>
                <w:i w:val="0"/>
                <w:color w:val="646B82"/>
                <w:sz w:val="16"/>
              </w:rPr>
              <w:t>The Transport Layer Security (TLS) Protocol, Version 1.3</w:t>
            </w:r>
          </w:p>
        </w:tc>
      </w:tr>
      <w:tr>
        <w:tc>
          <w:tcPr>
            <w:tcW w:type="dxa" w:w="794"/>
          </w:tcPr>
          <w:p>
            <w:r>
              <w:rPr>
                <w:b/>
                <w:i w:val="0"/>
                <w:color w:val="0B7485"/>
                <w:sz w:val="16"/>
              </w:rPr>
              <w:t>M1.2</w:t>
            </w:r>
          </w:p>
        </w:tc>
        <w:tc>
          <w:tcPr>
            <w:tcW w:type="dxa" w:w="4422"/>
          </w:tcPr>
          <w:p>
            <w:r>
              <w:rPr>
                <w:b w:val="0"/>
                <w:i w:val="0"/>
                <w:sz w:val="16"/>
              </w:rPr>
              <w:t>Das Autorisierungs-Framework OAuth 2.0</w:t>
            </w:r>
          </w:p>
        </w:tc>
        <w:tc>
          <w:tcPr>
            <w:tcW w:type="dxa" w:w="4422"/>
          </w:tcPr>
          <w:p>
            <w:r>
              <w:rPr>
                <w:b w:val="0"/>
                <w:i w:val="0"/>
                <w:color w:val="646B82"/>
                <w:sz w:val="16"/>
              </w:rPr>
              <w:t>The OAuth 2.0 Authorization Framework</w:t>
            </w:r>
          </w:p>
        </w:tc>
      </w:tr>
      <w:tr>
        <w:tc>
          <w:tcPr>
            <w:tcW w:type="dxa" w:w="794"/>
          </w:tcPr>
          <w:p>
            <w:r>
              <w:rPr>
                <w:b/>
                <w:i w:val="0"/>
                <w:color w:val="0B7485"/>
                <w:sz w:val="16"/>
              </w:rPr>
              <w:t>M1.3</w:t>
            </w:r>
          </w:p>
        </w:tc>
        <w:tc>
          <w:tcPr>
            <w:tcW w:type="dxa" w:w="4422"/>
          </w:tcPr>
          <w:p>
            <w:r>
              <w:rPr>
                <w:b w:val="0"/>
                <w:i w:val="0"/>
                <w:sz w:val="16"/>
              </w:rPr>
              <w:t>OpenID Connect 1.0, Identitätsschicht zur Authentifizierung auf Basis von OAuth 2.0</w:t>
            </w:r>
          </w:p>
        </w:tc>
        <w:tc>
          <w:tcPr>
            <w:tcW w:type="dxa" w:w="4422"/>
          </w:tcPr>
          <w:p>
            <w:r>
              <w:rPr>
                <w:b w:val="0"/>
                <w:i w:val="0"/>
                <w:color w:val="646B82"/>
                <w:sz w:val="16"/>
              </w:rPr>
              <w:t>OpenID Connect 1.0, Identity layer for authentication on OAuth 2.0</w:t>
            </w:r>
          </w:p>
        </w:tc>
      </w:tr>
      <w:tr>
        <w:tc>
          <w:tcPr>
            <w:tcW w:type="dxa" w:w="794"/>
          </w:tcPr>
          <w:p>
            <w:r>
              <w:rPr>
                <w:b/>
                <w:i w:val="0"/>
                <w:color w:val="0B7485"/>
                <w:sz w:val="16"/>
              </w:rPr>
              <w:t>M1.4</w:t>
            </w:r>
          </w:p>
        </w:tc>
        <w:tc>
          <w:tcPr>
            <w:tcW w:type="dxa" w:w="4422"/>
          </w:tcPr>
          <w:p>
            <w:r>
              <w:rPr>
                <w:b w:val="0"/>
                <w:i w:val="0"/>
                <w:sz w:val="16"/>
              </w:rPr>
              <w:t>OIDC4VCI / OIDC4VP, OpenID für Verifiable Credential Issuance und Presentations</w:t>
            </w:r>
          </w:p>
        </w:tc>
        <w:tc>
          <w:tcPr>
            <w:tcW w:type="dxa" w:w="4422"/>
          </w:tcPr>
          <w:p>
            <w:r>
              <w:rPr>
                <w:b w:val="0"/>
                <w:i w:val="0"/>
                <w:color w:val="646B82"/>
                <w:sz w:val="16"/>
              </w:rPr>
              <w:t>OIDC4VCI / OIDC4VP, OpenID for Verifiable Credential Issuance and Presentations</w:t>
            </w:r>
          </w:p>
        </w:tc>
      </w:tr>
      <w:tr>
        <w:tc>
          <w:tcPr>
            <w:tcW w:type="dxa" w:w="794"/>
            <w:shd w:val="clear" w:fill="EEF0FB"/>
          </w:tcPr>
          <w:p>
            <w:r>
              <w:rPr>
                <w:b/>
                <w:i w:val="0"/>
                <w:color w:val="2F3F9E"/>
                <w:sz w:val="16"/>
              </w:rPr>
              <w:t>P</w:t>
            </w:r>
          </w:p>
        </w:tc>
        <w:tc>
          <w:tcPr>
            <w:tcW w:type="dxa" w:w="4422"/>
            <w:shd w:val="clear" w:fill="EEF0FB"/>
          </w:tcPr>
          <w:p>
            <w:r>
              <w:rPr>
                <w:b/>
                <w:i w:val="0"/>
                <w:color w:val="2F3F9E"/>
                <w:sz w:val="16"/>
              </w:rPr>
              <w:t>Vor- und nachgelagerte Anforderungen (basierend auf ISO 27001 Anhang A): die Maßnahme, auf die sich diese Broschüre bezieht</w:t>
            </w:r>
          </w:p>
        </w:tc>
        <w:tc>
          <w:tcPr>
            <w:tcW w:type="dxa" w:w="4422"/>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4422"/>
          </w:tcPr>
          <w:p>
            <w:r>
              <w:rPr>
                <w:b w:val="0"/>
                <w:i w:val="0"/>
                <w:sz w:val="16"/>
              </w:rPr>
              <w:t>Protokollierung. Protokolle, die Aktivitäten, Ausnahmen, Fehler und andere relevante Ereignisse aufzeichnen, müssen erstellt, gespeichert, geschützt und analysiert werden.</w:t>
            </w:r>
          </w:p>
        </w:tc>
        <w:tc>
          <w:tcPr>
            <w:tcW w:type="dxa" w:w="4422"/>
          </w:tcPr>
          <w:p>
            <w:r>
              <w:rPr>
                <w:b w:val="0"/>
                <w:i w:val="0"/>
                <w:color w:val="646B82"/>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Vollständige Spezifikation: </w:t>
      </w:r>
      <w:hyperlink r:id="rId17">
        <w:r>
          <w:rPr>
            <w:color w:val="2F3F9E"/>
            <w:u w:val="single"/>
            <w:sz w:val="18"/>
          </w:rPr>
          <w:t>https://mims.oascities.org/securing-data</w:t>
        </w:r>
      </w:hyperlink>
    </w:p>
    <w:p>
      <w:r>
        <w:br w:type="page"/>
      </w:r>
    </w:p>
    <w:p>
      <w:pPr>
        <w:spacing w:before="120" w:after="40"/>
      </w:pPr>
      <w:r>
        <w:rPr>
          <w:b/>
          <w:i w:val="0"/>
          <w:color w:val="2F3F9E"/>
          <w:sz w:val="36"/>
        </w:rPr>
        <w:t>MIM7 · Funktioniert es auf einer Karte?</w:t>
      </w:r>
    </w:p>
    <w:p>
      <w:pPr>
        <w:spacing w:before="40" w:after="40"/>
      </w:pPr>
      <w:r>
        <w:rPr>
          <w:b w:val="0"/>
          <w:i w:val="0"/>
          <w:color w:val="646B82"/>
          <w:sz w:val="20"/>
        </w:rPr>
        <w:t xml:space="preserve">Geodaten   </w:t>
      </w:r>
      <w:hyperlink r:id="rId18">
        <w:r>
          <w:rPr>
            <w:color w:val="2F3F9E"/>
            <w:u w:val="single"/>
            <w:sz w:val="17.0"/>
          </w:rPr>
          <w:t>mims.oascities.org/geospatial-data</w:t>
        </w:r>
      </w:hyperlink>
    </w:p>
    <w:p>
      <w:pPr>
        <w:spacing w:before="120" w:after="200"/>
      </w:pPr>
      <w:r>
        <w:rPr>
          <w:b w:val="0"/>
          <w:i w:val="0"/>
          <w:sz w:val="20"/>
        </w:rPr>
        <w:t>Fast alles in einer Stadt hat einen Raumbezug. MIM7 stellt sicher, dass der Ort kein Screenshot bleibt: Geodaten fließen über standardisierte OGC-Schnittstellen, in offenen Formaten und mit stets deklariertem Koordinatenbezugssystem – damit jede neue Kartenebene exakt über Ihre bestehenden Ebenen passt.</w:t>
      </w:r>
    </w:p>
    <w:p>
      <w:pPr>
        <w:spacing w:before="40" w:after="20"/>
      </w:pPr>
      <w:r>
        <w:rPr>
          <w:b/>
          <w:i w:val="0"/>
          <w:color w:val="2F3F9E"/>
          <w:sz w:val="22"/>
        </w:rPr>
        <w:t xml:space="preserve">☐  </w:t>
      </w:r>
      <w:r>
        <w:rPr>
          <w:b/>
          <w:i w:val="0"/>
          <w:color w:val="2F3F9E"/>
          <w:sz w:val="20"/>
        </w:rPr>
        <w:t xml:space="preserve">7.1  </w:t>
      </w:r>
      <w:r>
        <w:rPr>
          <w:b/>
          <w:i w:val="0"/>
          <w:sz w:val="20"/>
        </w:rPr>
        <w:t>Geodaten werden über standardbasierte Schnittstellen bereitgestellt (OGC API Features, SensorThings; WFS für Altsysteme zulässig).</w:t>
      </w:r>
    </w:p>
    <w:p>
      <w:pPr>
        <w:spacing w:before="40" w:after="140"/>
      </w:pPr>
      <w:r>
        <w:rPr>
          <w:b w:val="0"/>
          <w:i/>
          <w:color w:val="646B82"/>
          <w:sz w:val="18"/>
        </w:rPr>
        <w:t xml:space="preserve">Jedes marktgängige GIS-Werkzeug kann die Daten sofort verarbeiten.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Geodaten sind in offenen Formaten codiert (GeoJSON, CityJSON; GML/CityGML, wo gefordert).</w:t>
      </w:r>
    </w:p>
    <w:p>
      <w:pPr>
        <w:spacing w:before="40" w:after="140"/>
      </w:pPr>
      <w:r>
        <w:rPr>
          <w:b w:val="0"/>
          <w:i/>
          <w:color w:val="646B82"/>
          <w:sz w:val="18"/>
        </w:rPr>
        <w:t xml:space="preserve">Keine Konverterlizenzen, keine Sackgassen.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Das Koordinatenreferenzsystem ist stets angegeben (EPSG-Code) und die Daten sind in ein gemeinsames CRS transformierbar.</w:t>
      </w:r>
    </w:p>
    <w:p>
      <w:pPr>
        <w:spacing w:before="40" w:after="140"/>
      </w:pPr>
      <w:r>
        <w:rPr>
          <w:b w:val="0"/>
          <w:i/>
          <w:color w:val="646B82"/>
          <w:sz w:val="18"/>
        </w:rPr>
        <w:t xml:space="preserve">Ebenen aus unterschiedlichen Quellen passen auf der Karte tatsächlich exakt aufeinander.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Geo-Objekte tragen dieselben persistenten Identifikatoren wie in MIM1.</w:t>
      </w:r>
    </w:p>
    <w:p>
      <w:pPr>
        <w:spacing w:before="40" w:after="140"/>
      </w:pPr>
      <w:r>
        <w:rPr>
          <w:b w:val="0"/>
          <w:i/>
          <w:color w:val="646B82"/>
          <w:sz w:val="18"/>
        </w:rPr>
        <w:t xml:space="preserve">Der Punkt auf der Karte und der Eintrag im Fachregister bezeichnen denselben Gegenstand.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Ein einheitlicher Stadtplan statt zehn herstellereigener Viewer.</w:t>
            </w:r>
          </w:p>
          <w:p>
            <w:pPr>
              <w:spacing w:before="20" w:after="60"/>
            </w:pPr>
            <w:r>
              <w:rPr>
                <w:b/>
                <w:i w:val="0"/>
                <w:color w:val="2F3F9E"/>
                <w:sz w:val="18"/>
              </w:rPr>
              <w:t xml:space="preserve">•  </w:t>
            </w:r>
            <w:r>
              <w:rPr>
                <w:b w:val="0"/>
                <w:i w:val="0"/>
                <w:sz w:val="18"/>
              </w:rPr>
              <w:t>Verpflichtungen aus INSPIRE und für Geoportale werden einfacher statt aufwendiger.</w:t>
            </w:r>
          </w:p>
          <w:p>
            <w:pPr>
              <w:spacing w:before="20" w:after="60"/>
            </w:pPr>
            <w:r>
              <w:rPr>
                <w:b/>
                <w:i w:val="0"/>
                <w:color w:val="2F3F9E"/>
                <w:sz w:val="18"/>
              </w:rPr>
              <w:t xml:space="preserve">•  </w:t>
            </w:r>
            <w:r>
              <w:rPr>
                <w:b w:val="0"/>
                <w:i w:val="0"/>
                <w:sz w:val="18"/>
              </w:rPr>
              <w:t>3D- und BIM-Daten lassen sich später in dasselbe Gesamtbild einfügen.</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Kartendaten existieren ausschließlich im Anzeigeprogramm des Anbieters.</w:t>
            </w:r>
          </w:p>
          <w:p>
            <w:pPr>
              <w:spacing w:before="20" w:after="60"/>
            </w:pPr>
            <w:r>
              <w:rPr>
                <w:b/>
                <w:i w:val="0"/>
                <w:color w:val="A02020"/>
                <w:sz w:val="18"/>
              </w:rPr>
              <w:t xml:space="preserve">•  </w:t>
            </w:r>
            <w:r>
              <w:rPr>
                <w:b w:val="0"/>
                <w:i w:val="0"/>
                <w:sz w:val="18"/>
              </w:rPr>
              <w:t>„Export als PDF/Screenshot.“</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Städte und Gemeinschaften können Geodaten problemlos zwischen internen und externen IT-Systemen (einschließlich IoT) übertragen</w:t>
            </w:r>
          </w:p>
        </w:tc>
        <w:tc>
          <w:tcPr>
            <w:tcW w:type="dxa" w:w="4422"/>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4422"/>
          </w:tcPr>
          <w:p>
            <w:r>
              <w:rPr>
                <w:b w:val="0"/>
                <w:i w:val="0"/>
                <w:sz w:val="16"/>
              </w:rPr>
              <w:t>Geodaten müssen über eine standardbasierte Webdienst-Schnittstelle bereitgestellt werden.</w:t>
            </w:r>
          </w:p>
        </w:tc>
        <w:tc>
          <w:tcPr>
            <w:tcW w:type="dxa" w:w="4422"/>
          </w:tcPr>
          <w:p>
            <w:r>
              <w:rPr>
                <w:b w:val="0"/>
                <w:i w:val="0"/>
                <w:color w:val="646B82"/>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Städte und Gemeinschaften können 2D- und 3D-Geodaten aus verschiedenen Quellen integrieren, z. B. Geodaten und Bauwerksdatenmodelle (BIM), und diese Daten innerhalb und untereinander interoperabel austauschen</w:t>
            </w:r>
          </w:p>
        </w:tc>
        <w:tc>
          <w:tcPr>
            <w:tcW w:type="dxa" w:w="4422"/>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4422"/>
          </w:tcPr>
          <w:p>
            <w:r>
              <w:rPr>
                <w:b w:val="0"/>
                <w:i w:val="0"/>
                <w:sz w:val="16"/>
              </w:rPr>
              <w:t>Geodaten müssen unter Verwendung offener Standards codiert werden. Es wird empfohlen, relevante Standards des OGC und von BuildingSMART International zu verwenden.</w:t>
            </w:r>
          </w:p>
        </w:tc>
        <w:tc>
          <w:tcPr>
            <w:tcW w:type="dxa" w:w="4422"/>
          </w:tcPr>
          <w:p>
            <w:r>
              <w:rPr>
                <w:b w:val="0"/>
                <w:i w:val="0"/>
                <w:color w:val="646B82"/>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Städte und Gemeinschaften können Geodaten mit anderen Daten integrieren, die weitere Kontextinformationen liefern können</w:t>
            </w:r>
          </w:p>
        </w:tc>
        <w:tc>
          <w:tcPr>
            <w:tcW w:type="dxa" w:w="4422"/>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4422"/>
          </w:tcPr>
          <w:p>
            <w:r>
              <w:rPr>
                <w:b w:val="0"/>
                <w:i w:val="0"/>
                <w:sz w:val="16"/>
              </w:rPr>
              <w:t>Alle Datensätze, die verwendet werden, um weitere Informationen über den durch Geodaten abgedeckten Kontext bereitzustellen, müssen MIM1 und MIM2 entsprechen.</w:t>
            </w:r>
          </w:p>
        </w:tc>
        <w:tc>
          <w:tcPr>
            <w:tcW w:type="dxa" w:w="4422"/>
          </w:tcPr>
          <w:p>
            <w:r>
              <w:rPr>
                <w:b w:val="0"/>
                <w:i w:val="0"/>
                <w:color w:val="646B82"/>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Städte und Gemeinschaften verfügen über eine einheitliche und persistente Methode zur Beschreibung einzelner Instanzen aller in den Geodatenquellen enthaltenen Objekte, Dinge oder Entitäten</w:t>
            </w:r>
          </w:p>
        </w:tc>
        <w:tc>
          <w:tcPr>
            <w:tcW w:type="dxa" w:w="4422"/>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4422"/>
          </w:tcPr>
          <w:p>
            <w:r>
              <w:rPr>
                <w:b w:val="0"/>
                <w:i w:val="0"/>
                <w:sz w:val="16"/>
              </w:rPr>
              <w:t>Eindeutige und persistente Bezeichner müssen verwendet werden, um einzelne Instanzen jeder in Datensätzen verwendeten Entität zu identifizieren. (Siehe MIM1: Datenverknüpfung.)</w:t>
            </w:r>
          </w:p>
        </w:tc>
        <w:tc>
          <w:tcPr>
            <w:tcW w:type="dxa" w:w="4422"/>
          </w:tcPr>
          <w:p>
            <w:r>
              <w:rPr>
                <w:b w:val="0"/>
                <w:i w:val="0"/>
                <w:color w:val="646B82"/>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Beim Datenaustausch verwendete Koordinatenreferenzsysteme (CRS) sind leicht in ein gemeinsames CRS transformierbar</w:t>
            </w:r>
          </w:p>
        </w:tc>
        <w:tc>
          <w:tcPr>
            <w:tcW w:type="dxa" w:w="4422"/>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4422"/>
          </w:tcPr>
          <w:p>
            <w:r>
              <w:rPr>
                <w:b w:val="0"/>
                <w:i w:val="0"/>
                <w:sz w:val="16"/>
              </w:rPr>
              <w:t>Koordinatenreferenzsysteme (CRS) müssen Standards entsprechen, und es müssen Informationen darüber bereitgestellt werden, welcher Standard (z. B. EPSG:4326, EPSG:3857) verwendet wird. Dies umfasst die EPSG-Nummer oder WGS-Nummer zusammen mit Informationen über etwaige Abweichungen auf Basis nationaler Systeme wie dem lettischen LKS-92, sodass Daten in ein gemeinsames CRS transformiert werden können. (Hinweis: Innerhalb der EU ist für Geodaten die Verwendung von Metadaten erforderlich, die der INSPIRE-Richtlinie entsprechen, einschließlich der zur Beschreibung der CRS-Informationen erforderlichen Metadaten.)</w:t>
            </w:r>
          </w:p>
        </w:tc>
        <w:tc>
          <w:tcPr>
            <w:tcW w:type="dxa" w:w="4422"/>
          </w:tcPr>
          <w:p>
            <w:r>
              <w:rPr>
                <w:b w:val="0"/>
                <w:i w:val="0"/>
                <w:color w:val="646B82"/>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Vollständige Spezifikation: </w:t>
      </w:r>
      <w:hyperlink r:id="rId18">
        <w:r>
          <w:rPr>
            <w:color w:val="2F3F9E"/>
            <w:u w:val="single"/>
            <w:sz w:val="18"/>
          </w:rPr>
          <w:t>https://mims.oascities.org/geospatial-data</w:t>
        </w:r>
      </w:hyperlink>
    </w:p>
    <w:p>
      <w:r>
        <w:br w:type="page"/>
      </w:r>
    </w:p>
    <w:p>
      <w:pPr>
        <w:spacing w:before="120" w:after="40"/>
      </w:pPr>
      <w:r>
        <w:rPr>
          <w:b/>
          <w:i w:val="0"/>
          <w:color w:val="2F3F9E"/>
          <w:sz w:val="36"/>
        </w:rPr>
        <w:t>MIM8 · Kann unser digitaler Zwilling wachsen?</w:t>
      </w:r>
    </w:p>
    <w:p>
      <w:pPr>
        <w:spacing w:before="40" w:after="40"/>
      </w:pPr>
      <w:r>
        <w:rPr>
          <w:b w:val="0"/>
          <w:i w:val="0"/>
          <w:color w:val="646B82"/>
          <w:sz w:val="20"/>
        </w:rPr>
        <w:t xml:space="preserve">Lokale digitale Zwillinge   </w:t>
      </w:r>
      <w:hyperlink r:id="rId19">
        <w:r>
          <w:rPr>
            <w:color w:val="2F3F9E"/>
            <w:u w:val="single"/>
            <w:sz w:val="17.0"/>
          </w:rPr>
          <w:t>mims.oascities.org/local-digital-twins</w:t>
        </w:r>
      </w:hyperlink>
    </w:p>
    <w:p>
      <w:pPr>
        <w:spacing w:before="120" w:after="200"/>
      </w:pPr>
      <w:r>
        <w:rPr>
          <w:b w:val="0"/>
          <w:i w:val="0"/>
          <w:sz w:val="20"/>
        </w:rPr>
        <w:t>Ein digitaler Zwilling ist eine langfristige Investition: Daten, 3D-Modelle, Simulationen, Entscheidungen. MIM8 schützt diese Investition – Daten und Modelle des Zwillings bleiben zugänglich und dokumentiert, Ergebnisse sind reproduzierbar, und Bausteine aus einem Vorhaben können im nächsten dienen. Nutzen Sie diese Seite bei Plattformen für Zwillinge, Simulationsmodellen oder 3D-Stadtwerkzeugen.</w:t>
      </w:r>
    </w:p>
    <w:p>
      <w:pPr>
        <w:spacing w:before="40" w:after="20"/>
      </w:pPr>
      <w:r>
        <w:rPr>
          <w:b/>
          <w:i w:val="0"/>
          <w:color w:val="2F3F9E"/>
          <w:sz w:val="22"/>
        </w:rPr>
        <w:t xml:space="preserve">☐  </w:t>
      </w:r>
      <w:r>
        <w:rPr>
          <w:b/>
          <w:i w:val="0"/>
          <w:color w:val="2F3F9E"/>
          <w:sz w:val="20"/>
        </w:rPr>
        <w:t xml:space="preserve">8.1  </w:t>
      </w:r>
      <w:r>
        <w:rPr>
          <w:b/>
          <w:i w:val="0"/>
          <w:sz w:val="20"/>
        </w:rPr>
        <w:t>Datensätze, Modelleingaben und Simulationsergebnisse sind über APIs (gemäß MIM0) zugänglich, nicht im Zwilling eingesperrt.</w:t>
      </w:r>
    </w:p>
    <w:p>
      <w:pPr>
        <w:spacing w:before="40" w:after="140"/>
      </w:pPr>
      <w:r>
        <w:rPr>
          <w:b w:val="0"/>
          <w:i/>
          <w:color w:val="646B82"/>
          <w:sz w:val="18"/>
        </w:rPr>
        <w:t xml:space="preserve">Ergebnisse fließen direkt in Berichte, Dashboards und Nachfolgeprojekte ein.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Modelle sind dokumentiert (Methodik, Parameter, Ein-/Ausgaben) und über eine dokumentierte Schnittstelle aufrufbar.</w:t>
      </w:r>
    </w:p>
    <w:p>
      <w:pPr>
        <w:spacing w:before="40" w:after="140"/>
      </w:pPr>
      <w:r>
        <w:rPr>
          <w:b w:val="0"/>
          <w:i/>
          <w:color w:val="646B82"/>
          <w:sz w:val="18"/>
        </w:rPr>
        <w:t xml:space="preserve">Ein einmal beschafftes Hochwassermodell kann fachbereichsübergreifend – und von anderen Städten – nachgenutzt werden.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Ausgaben nutzen Standardformate (GeoJSON, CityJSON, 3D Tiles, NetCDF…), die von Werkzeugen Dritter lesbar sind.</w:t>
      </w:r>
    </w:p>
    <w:p>
      <w:pPr>
        <w:spacing w:before="40" w:after="140"/>
      </w:pPr>
      <w:r>
        <w:rPr>
          <w:b w:val="0"/>
          <w:i/>
          <w:color w:val="646B82"/>
          <w:sz w:val="18"/>
        </w:rPr>
        <w:t xml:space="preserve">Visualisierung und Analyse bleiben wettbewerbsoffene Märkte.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Workflows erfassen die Herkunft: welche Datenversion, welches Modell und welche Parameter ein Ergebnis erzeugt haben.</w:t>
      </w:r>
    </w:p>
    <w:p>
      <w:pPr>
        <w:spacing w:before="40" w:after="140"/>
      </w:pPr>
      <w:r>
        <w:rPr>
          <w:b w:val="0"/>
          <w:i/>
          <w:color w:val="646B82"/>
          <w:sz w:val="18"/>
        </w:rPr>
        <w:t xml:space="preserve">Auf dem Zwilling basierende Entscheidungen lassen sich später nachvollziehen und begründen.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WARUM DAS WICHTIG IST</w:t>
            </w:r>
          </w:p>
          <w:p>
            <w:pPr>
              <w:spacing w:before="20" w:after="60"/>
            </w:pPr>
            <w:r>
              <w:rPr>
                <w:b/>
                <w:i w:val="0"/>
                <w:color w:val="2F3F9E"/>
                <w:sz w:val="18"/>
              </w:rPr>
              <w:t xml:space="preserve">•  </w:t>
            </w:r>
            <w:r>
              <w:rPr>
                <w:b w:val="0"/>
                <w:i w:val="0"/>
                <w:sz w:val="18"/>
              </w:rPr>
              <w:t>Der Zwilling überdauert einzelne Lieferanten und zeitlich begrenzte Projektbudgets.</w:t>
            </w:r>
          </w:p>
          <w:p>
            <w:pPr>
              <w:spacing w:before="20" w:after="60"/>
            </w:pPr>
            <w:r>
              <w:rPr>
                <w:b/>
                <w:i w:val="0"/>
                <w:color w:val="2F3F9E"/>
                <w:sz w:val="18"/>
              </w:rPr>
              <w:t xml:space="preserve">•  </w:t>
            </w:r>
            <w:r>
              <w:rPr>
                <w:b w:val="0"/>
                <w:i w:val="0"/>
                <w:sz w:val="18"/>
              </w:rPr>
              <w:t>Simulationen können bei kommunalen Entscheidungen überprüft, wiederholt und belegt werden.</w:t>
            </w:r>
          </w:p>
          <w:p>
            <w:pPr>
              <w:spacing w:before="20" w:after="60"/>
            </w:pPr>
            <w:r>
              <w:rPr>
                <w:b/>
                <w:i w:val="0"/>
                <w:color w:val="2F3F9E"/>
                <w:sz w:val="18"/>
              </w:rPr>
              <w:t xml:space="preserve">•  </w:t>
            </w:r>
            <w:r>
              <w:rPr>
                <w:b w:val="0"/>
                <w:i w:val="0"/>
                <w:sz w:val="18"/>
              </w:rPr>
              <w:t>Modelle und Komponenten können zwischen Städten ausgetauscht werden.</w:t>
            </w:r>
          </w:p>
        </w:tc>
        <w:tc>
          <w:tcPr>
            <w:tcW w:type="dxa" w:w="4986"/>
            <w:shd w:val="clear" w:fill="FBEEEE"/>
          </w:tcPr>
          <w:p>
            <w:pPr>
              <w:spacing w:before="20" w:after="60"/>
            </w:pPr>
            <w:r>
              <w:rPr>
                <w:b/>
                <w:i w:val="0"/>
                <w:color w:val="A02020"/>
                <w:sz w:val="18"/>
              </w:rPr>
              <w:t>WARNSIGNALE</w:t>
            </w:r>
          </w:p>
          <w:p>
            <w:pPr>
              <w:spacing w:before="20" w:after="60"/>
            </w:pPr>
            <w:r>
              <w:rPr>
                <w:b/>
                <w:i w:val="0"/>
                <w:color w:val="A02020"/>
                <w:sz w:val="18"/>
              </w:rPr>
              <w:t xml:space="preserve">•  </w:t>
            </w:r>
            <w:r>
              <w:rPr>
                <w:b w:val="0"/>
                <w:i w:val="0"/>
                <w:sz w:val="18"/>
              </w:rPr>
              <w:t>Simulationsergebnisse sind nur im Portal des Anbieters einsehbar.</w:t>
            </w:r>
          </w:p>
          <w:p>
            <w:pPr>
              <w:spacing w:before="20" w:after="60"/>
            </w:pPr>
            <w:r>
              <w:rPr>
                <w:b/>
                <w:i w:val="0"/>
                <w:color w:val="A02020"/>
                <w:sz w:val="18"/>
              </w:rPr>
              <w:t xml:space="preserve">•  </w:t>
            </w:r>
            <w:r>
              <w:rPr>
                <w:b w:val="0"/>
                <w:i w:val="0"/>
                <w:sz w:val="18"/>
              </w:rPr>
              <w:t>Modelle als abgeschottete Blackboxen ohne Metadaten.</w:t>
            </w:r>
          </w:p>
        </w:tc>
      </w:tr>
    </w:tbl>
    <w:p>
      <w:pPr>
        <w:spacing w:before="280" w:after="40"/>
      </w:pPr>
      <w:r>
        <w:rPr>
          <w:b/>
          <w:i w:val="0"/>
          <w:color w:val="2F3F9E"/>
          <w:sz w:val="26"/>
        </w:rPr>
        <w:t>Wortlaut der Spezifikation</w:t>
      </w:r>
    </w:p>
    <w:p>
      <w:pPr>
        <w:spacing w:before="40" w:after="120"/>
      </w:pPr>
      <w:r>
        <w:rPr>
          <w:b w:val="0"/>
          <w:i w:val="0"/>
          <w:color w:val="646B82"/>
          <w:sz w:val="18"/>
        </w:rPr>
        <w:t>Jede Anforderung dieses MIM, wörtlich aus MIMs Plus 9.0: Die Spezifikation liegt ausschließlich auf Englisch vor: Der deutsche Wortlaut ist eine unverbindliche Übersetzung des Autors dieses Leitfadens; verbindlich ist allein das darunter stehende englische Original.</w:t>
      </w:r>
    </w:p>
    <w:tbl>
      <w:tblPr>
        <w:tblStyle w:val="TableGrid"/>
        <w:tblW w:type="auto" w:w="0"/>
        <w:tblLook w:firstColumn="1" w:firstRow="1" w:lastColumn="0" w:lastRow="0" w:noHBand="0" w:noVBand="1" w:val="04A0"/>
      </w:tblPr>
      <w:tblGrid>
        <w:gridCol w:w="3324"/>
        <w:gridCol w:w="3324"/>
        <w:gridCol w:w="3324"/>
      </w:tblGrid>
      <w:tr>
        <w:tc>
          <w:tcPr>
            <w:tcW w:type="dxa" w:w="794"/>
            <w:shd w:val="clear" w:fill="EEF0FB"/>
          </w:tcPr>
          <w:p>
            <w:r>
              <w:rPr>
                <w:b/>
                <w:i w:val="0"/>
                <w:color w:val="2F3F9E"/>
                <w:sz w:val="16"/>
              </w:rPr>
              <w:t>C1</w:t>
            </w:r>
          </w:p>
        </w:tc>
        <w:tc>
          <w:tcPr>
            <w:tcW w:type="dxa" w:w="4422"/>
            <w:shd w:val="clear" w:fill="EEF0FB"/>
          </w:tcPr>
          <w:p>
            <w:r>
              <w:rPr>
                <w:b/>
                <w:i w:val="0"/>
                <w:color w:val="2F3F9E"/>
                <w:sz w:val="16"/>
              </w:rPr>
              <w:t>Zugriff auf im LDT verwendete Datensätze bereitstellen, einschließlich statischer Daten, Echtzeitdaten, Simulationsdaten und Berechnungsmodellen</w:t>
            </w:r>
          </w:p>
        </w:tc>
        <w:tc>
          <w:tcPr>
            <w:tcW w:type="dxa" w:w="4422"/>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4422"/>
          </w:tcPr>
          <w:p>
            <w:r>
              <w:rPr>
                <w:b w:val="0"/>
                <w:i w:val="0"/>
                <w:sz w:val="16"/>
              </w:rPr>
              <w:t>Der LDT muss Zugriff auf Simulationsergebnisse und Berechnungsmodelleingaben bereitstellen, sofern diese im Rahmen von LDT-Workflows benötigt werden.</w:t>
            </w:r>
          </w:p>
        </w:tc>
        <w:tc>
          <w:tcPr>
            <w:tcW w:type="dxa" w:w="4422"/>
          </w:tcPr>
          <w:p>
            <w:r>
              <w:rPr>
                <w:b w:val="0"/>
                <w:i w:val="0"/>
                <w:color w:val="646B82"/>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4422"/>
          </w:tcPr>
          <w:p>
            <w:r>
              <w:rPr>
                <w:b w:val="0"/>
                <w:i w:val="0"/>
                <w:sz w:val="16"/>
              </w:rPr>
              <w:t>Der LDT sollte klar zwischen rohen Quelldaten, transformierten workflow-bereiten Daten, Modelleingaben und Modellausgaben unterscheiden.</w:t>
            </w:r>
          </w:p>
        </w:tc>
        <w:tc>
          <w:tcPr>
            <w:tcW w:type="dxa" w:w="4422"/>
          </w:tcPr>
          <w:p>
            <w:r>
              <w:rPr>
                <w:b w:val="0"/>
                <w:i w:val="0"/>
                <w:color w:val="646B82"/>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4422"/>
            <w:shd w:val="clear" w:fill="EEF0FB"/>
          </w:tcPr>
          <w:p>
            <w:r>
              <w:rPr>
                <w:b/>
                <w:i w:val="0"/>
                <w:color w:val="2F3F9E"/>
                <w:sz w:val="16"/>
              </w:rPr>
              <w:t>Daten mit externen Systemen und anderen LDTs über interoperable Schnittstellen austauschen</w:t>
            </w:r>
          </w:p>
        </w:tc>
        <w:tc>
          <w:tcPr>
            <w:tcW w:type="dxa" w:w="4422"/>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4422"/>
          </w:tcPr>
          <w:p>
            <w:r>
              <w:rPr>
                <w:b w:val="0"/>
                <w:i w:val="0"/>
                <w:sz w:val="16"/>
              </w:rPr>
              <w:t>Diese Fähigkeit stützt sich beim Datenaustausch auf MIM3 (Datenaustausch).</w:t>
            </w:r>
          </w:p>
        </w:tc>
        <w:tc>
          <w:tcPr>
            <w:tcW w:type="dxa" w:w="4422"/>
          </w:tcPr>
          <w:p>
            <w:r>
              <w:rPr>
                <w:b w:val="0"/>
                <w:i w:val="0"/>
                <w:color w:val="646B82"/>
                <w:sz w:val="16"/>
              </w:rPr>
              <w:t>This capability relies on MIM3 (Exchanging Data) for data exchange.</w:t>
            </w:r>
          </w:p>
        </w:tc>
      </w:tr>
      <w:tr>
        <w:tc>
          <w:tcPr>
            <w:tcW w:type="dxa" w:w="794"/>
            <w:shd w:val="clear" w:fill="EEF0FB"/>
          </w:tcPr>
          <w:p>
            <w:r>
              <w:rPr>
                <w:b/>
                <w:i w:val="0"/>
                <w:color w:val="2F3F9E"/>
                <w:sz w:val="16"/>
              </w:rPr>
              <w:t>C3</w:t>
            </w:r>
          </w:p>
        </w:tc>
        <w:tc>
          <w:tcPr>
            <w:tcW w:type="dxa" w:w="4422"/>
            <w:shd w:val="clear" w:fill="EEF0FB"/>
          </w:tcPr>
          <w:p>
            <w:r>
              <w:rPr>
                <w:b/>
                <w:i w:val="0"/>
                <w:color w:val="2F3F9E"/>
                <w:sz w:val="16"/>
              </w:rPr>
              <w:t>Deterministische oder KI-Modelle über verschiedene Domänen, Gemeinschaften, Anwendungsfälle und/oder LDTs hinweg wiederverwenden</w:t>
            </w:r>
          </w:p>
        </w:tc>
        <w:tc>
          <w:tcPr>
            <w:tcW w:type="dxa" w:w="4422"/>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4422"/>
          </w:tcPr>
          <w:p>
            <w:r>
              <w:rPr>
                <w:b w:val="0"/>
                <w:i w:val="0"/>
                <w:sz w:val="16"/>
              </w:rPr>
              <w:t>Das Modell sollte Standard-Modellmetadaten bereitstellen, einschließlich einer Beschreibung seiner Methoden und Parameter sowie Datenparameter (entweder als Wert oder als Referenz). Hierzu sollten gemeinsame Metadatenstandards verwendet werden.</w:t>
            </w:r>
          </w:p>
        </w:tc>
        <w:tc>
          <w:tcPr>
            <w:tcW w:type="dxa" w:w="4422"/>
          </w:tcPr>
          <w:p>
            <w:r>
              <w:rPr>
                <w:b w:val="0"/>
                <w:i w:val="0"/>
                <w:color w:val="646B82"/>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4422"/>
          </w:tcPr>
          <w:p>
            <w:r>
              <w:rPr>
                <w:b w:val="0"/>
                <w:i w:val="0"/>
                <w:sz w:val="16"/>
              </w:rPr>
              <w:t>Das Modell muss über eine dokumentierte Schnittstelle bereitgestellt werden oder aufrufbar sein, vorzugsweise unter Verwendung einer bekannten standardisierten API. Der Datensatz, der das Ergebnis des Modells bildet, muss (auf Datenebene) beschrieben werden.</w:t>
            </w:r>
          </w:p>
        </w:tc>
        <w:tc>
          <w:tcPr>
            <w:tcW w:type="dxa" w:w="4422"/>
          </w:tcPr>
          <w:p>
            <w:r>
              <w:rPr>
                <w:b w:val="0"/>
                <w:i w:val="0"/>
                <w:color w:val="646B82"/>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4422"/>
          </w:tcPr>
          <w:p>
            <w:r>
              <w:rPr>
                <w:b w:val="0"/>
                <w:i w:val="0"/>
                <w:sz w:val="16"/>
              </w:rPr>
              <w:t>Eine vertrauenswürdige, zuverlässige und ethische Nutzung innovativer Methoden (LLMs, agentische KI usw.) sollte gewährleistet werden. Verzerrungen (Bias) sollten minimiert werden, sofern zutreffend. Die Methoden, mit denen dies garantiert wird, sollten beschrieben werden.</w:t>
            </w:r>
          </w:p>
        </w:tc>
        <w:tc>
          <w:tcPr>
            <w:tcW w:type="dxa" w:w="4422"/>
          </w:tcPr>
          <w:p>
            <w:r>
              <w:rPr>
                <w:b w:val="0"/>
                <w:i w:val="0"/>
                <w:color w:val="646B82"/>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4422"/>
          </w:tcPr>
          <w:p>
            <w:r>
              <w:rPr>
                <w:b w:val="0"/>
                <w:i w:val="0"/>
                <w:sz w:val="16"/>
              </w:rPr>
              <w:t>Das Modell muss in der Lage sein, im Namen des Endnutzers oder der Organisation auf Daten zuzugreifen. Siehe MIM3.</w:t>
            </w:r>
          </w:p>
        </w:tc>
        <w:tc>
          <w:tcPr>
            <w:tcW w:type="dxa" w:w="4422"/>
          </w:tcPr>
          <w:p>
            <w:r>
              <w:rPr>
                <w:b w:val="0"/>
                <w:i w:val="0"/>
                <w:color w:val="646B82"/>
                <w:sz w:val="16"/>
              </w:rPr>
              <w:t>The model must be able to access data on behalf of the end-user or organisation. See MIM3</w:t>
            </w:r>
          </w:p>
        </w:tc>
      </w:tr>
      <w:tr>
        <w:tc>
          <w:tcPr>
            <w:tcW w:type="dxa" w:w="794"/>
          </w:tcPr>
          <w:p>
            <w:r>
              <w:rPr>
                <w:b/>
                <w:i w:val="0"/>
                <w:color w:val="0B7485"/>
                <w:sz w:val="16"/>
              </w:rPr>
              <w:t>R3.5</w:t>
            </w:r>
          </w:p>
        </w:tc>
        <w:tc>
          <w:tcPr>
            <w:tcW w:type="dxa" w:w="4422"/>
          </w:tcPr>
          <w:p>
            <w:r>
              <w:rPr>
                <w:b w:val="0"/>
                <w:i w:val="0"/>
                <w:sz w:val="16"/>
              </w:rPr>
              <w:t>Für Daten, die in KI-Modellen verwendet werden sollen, sollten Herkunft und Vertrauenswürdigkeit garantiert werden. In manchen Fällen muss eine autoritative Quelle, beispielsweise eine Behörde, aufgeführt werden.</w:t>
            </w:r>
          </w:p>
        </w:tc>
        <w:tc>
          <w:tcPr>
            <w:tcW w:type="dxa" w:w="4422"/>
          </w:tcPr>
          <w:p>
            <w:r>
              <w:rPr>
                <w:b w:val="0"/>
                <w:i w:val="0"/>
                <w:color w:val="646B82"/>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4422"/>
            <w:shd w:val="clear" w:fill="EEF0FB"/>
          </w:tcPr>
          <w:p>
            <w:r>
              <w:rPr>
                <w:b/>
                <w:i w:val="0"/>
                <w:color w:val="2F3F9E"/>
                <w:sz w:val="16"/>
              </w:rPr>
              <w:t>Daten, Modelle und Verarbeitungsworkflows innerhalb eines LDT (intra-LDT) und über LDTs hinweg (inter-LDT) koordinieren und verwalten</w:t>
            </w:r>
          </w:p>
        </w:tc>
        <w:tc>
          <w:tcPr>
            <w:tcW w:type="dxa" w:w="4422"/>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4422"/>
          </w:tcPr>
          <w:p>
            <w:r>
              <w:rPr>
                <w:b w:val="0"/>
                <w:i w:val="0"/>
                <w:sz w:val="16"/>
              </w:rPr>
              <w:t>Der LDT unterstützt Workflows, die Datenquellen, Datentransformationen, Modellausführungen, Simulationsprozesse und Ergebnisse verbinden.</w:t>
            </w:r>
          </w:p>
        </w:tc>
        <w:tc>
          <w:tcPr>
            <w:tcW w:type="dxa" w:w="4422"/>
          </w:tcPr>
          <w:p>
            <w:r>
              <w:rPr>
                <w:b w:val="0"/>
                <w:i w:val="0"/>
                <w:color w:val="646B82"/>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4422"/>
          </w:tcPr>
          <w:p>
            <w:r>
              <w:rPr>
                <w:b w:val="0"/>
                <w:i w:val="0"/>
                <w:sz w:val="16"/>
              </w:rPr>
              <w:t>Der LDT verkettet Workflow-Schritte, bei denen die Ausgabe eines Schritts als Eingabe für einen anderen verwendet werden kann.</w:t>
            </w:r>
          </w:p>
        </w:tc>
        <w:tc>
          <w:tcPr>
            <w:tcW w:type="dxa" w:w="4422"/>
          </w:tcPr>
          <w:p>
            <w:r>
              <w:rPr>
                <w:b w:val="0"/>
                <w:i w:val="0"/>
                <w:color w:val="646B82"/>
                <w:sz w:val="16"/>
              </w:rPr>
              <w:t>The LDT chains workflow steps, where the output of one step can be used as the input for another.</w:t>
            </w:r>
          </w:p>
        </w:tc>
      </w:tr>
      <w:tr>
        <w:tc>
          <w:tcPr>
            <w:tcW w:type="dxa" w:w="794"/>
          </w:tcPr>
          <w:p>
            <w:r>
              <w:rPr>
                <w:b/>
                <w:i w:val="0"/>
                <w:color w:val="0B7485"/>
                <w:sz w:val="16"/>
              </w:rPr>
              <w:t>R4.3</w:t>
            </w:r>
          </w:p>
        </w:tc>
        <w:tc>
          <w:tcPr>
            <w:tcW w:type="dxa" w:w="4422"/>
          </w:tcPr>
          <w:p>
            <w:r>
              <w:rPr>
                <w:b w:val="0"/>
                <w:i w:val="0"/>
                <w:sz w:val="16"/>
              </w:rPr>
              <w:t>Der LDT überwacht den Status der Workflow-Ausführung, einschließlich abgeschlossener, fehlgeschlagener und unterbrochener Prozesse.</w:t>
            </w:r>
          </w:p>
        </w:tc>
        <w:tc>
          <w:tcPr>
            <w:tcW w:type="dxa" w:w="4422"/>
          </w:tcPr>
          <w:p>
            <w:r>
              <w:rPr>
                <w:b w:val="0"/>
                <w:i w:val="0"/>
                <w:color w:val="646B82"/>
                <w:sz w:val="16"/>
              </w:rPr>
              <w:t>The LDT monitors workflow execution status, including completed, failed, and interrupted processes.</w:t>
            </w:r>
          </w:p>
        </w:tc>
      </w:tr>
      <w:tr>
        <w:tc>
          <w:tcPr>
            <w:tcW w:type="dxa" w:w="794"/>
          </w:tcPr>
          <w:p>
            <w:r>
              <w:rPr>
                <w:b/>
                <w:i w:val="0"/>
                <w:color w:val="0B7485"/>
                <w:sz w:val="16"/>
              </w:rPr>
              <w:t>R4.4</w:t>
            </w:r>
          </w:p>
        </w:tc>
        <w:tc>
          <w:tcPr>
            <w:tcW w:type="dxa" w:w="4422"/>
          </w:tcPr>
          <w:p>
            <w:r>
              <w:rPr>
                <w:b w:val="0"/>
                <w:i w:val="0"/>
                <w:sz w:val="16"/>
              </w:rPr>
              <w:t>Der LDT zeichnet die Workflow-Herkunft auf, einschließlich verwendeter Datensätze (einschließlich Version, mit Zeitstempel), ausgeführter Modelle, ausgewählter Parameter und erzeugter Ergebnisse.</w:t>
            </w:r>
          </w:p>
        </w:tc>
        <w:tc>
          <w:tcPr>
            <w:tcW w:type="dxa" w:w="4422"/>
          </w:tcPr>
          <w:p>
            <w:r>
              <w:rPr>
                <w:b w:val="0"/>
                <w:i w:val="0"/>
                <w:color w:val="646B82"/>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4422"/>
            <w:shd w:val="clear" w:fill="EEF0FB"/>
          </w:tcPr>
          <w:p>
            <w:r>
              <w:rPr>
                <w:b/>
                <w:i w:val="0"/>
                <w:color w:val="2F3F9E"/>
                <w:sz w:val="16"/>
              </w:rPr>
              <w:t>Mehrere Visualisierungen von Daten und Ergebnissen (z. B. 2D, 3D, Dashboards) aus gemeinsamen zugrunde liegenden Daten und Modellen für Interaktion und Vergleich bereitstellen</w:t>
            </w:r>
          </w:p>
        </w:tc>
        <w:tc>
          <w:tcPr>
            <w:tcW w:type="dxa" w:w="4422"/>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4422"/>
          </w:tcPr>
          <w:p>
            <w:r>
              <w:rPr>
                <w:b w:val="0"/>
                <w:i w:val="0"/>
                <w:sz w:val="16"/>
              </w:rPr>
              <w:t>Der LDT stellt Metadaten bereit, die erklären, was visualisiert wird, einschließlich Zeitstempel, räumlichem Geltungsbereich, Datenquelle sowie Szenario- und Variantenannahmen, sofern relevant.</w:t>
            </w:r>
          </w:p>
        </w:tc>
        <w:tc>
          <w:tcPr>
            <w:tcW w:type="dxa" w:w="4422"/>
          </w:tcPr>
          <w:p>
            <w:r>
              <w:rPr>
                <w:b w:val="0"/>
                <w:i w:val="0"/>
                <w:color w:val="646B82"/>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4422"/>
          </w:tcPr>
          <w:p>
            <w:r>
              <w:rPr>
                <w:b w:val="0"/>
                <w:i w:val="0"/>
                <w:sz w:val="16"/>
              </w:rPr>
              <w:t>Der LDT unterstützt verschiedene interaktive Visualisierungsarten wie 2D-Karten, 3D-Szenen, Dashboards, Berichte oder öffentlich zugängliche Ansichten.</w:t>
            </w:r>
          </w:p>
        </w:tc>
        <w:tc>
          <w:tcPr>
            <w:tcW w:type="dxa" w:w="4422"/>
          </w:tcPr>
          <w:p>
            <w:r>
              <w:rPr>
                <w:b w:val="0"/>
                <w:i w:val="0"/>
                <w:color w:val="646B82"/>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4422"/>
            <w:shd w:val="clear" w:fill="EEF0FB"/>
          </w:tcPr>
          <w:p>
            <w:r>
              <w:rPr>
                <w:b/>
                <w:i w:val="0"/>
                <w:color w:val="2F3F9E"/>
                <w:sz w:val="16"/>
              </w:rPr>
              <w:t>Sicherstellen, dass innerhalb und zwischen LDTs ausgetauschte Daten (und Simulationsergebnisse) durch gemeinsame oder zugeordnete Semantik und klare Herkunft einheitlich interpretiert werden können</w:t>
            </w:r>
          </w:p>
        </w:tc>
        <w:tc>
          <w:tcPr>
            <w:tcW w:type="dxa" w:w="4422"/>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4422"/>
          </w:tcPr>
          <w:p>
            <w:r>
              <w:rPr>
                <w:b w:val="0"/>
                <w:i w:val="0"/>
                <w:sz w:val="16"/>
              </w:rPr>
              <w:t>Der LDT sollte ungelöste semantische Lücken, Annahmen oder Zuordnungen dokumentieren, die die Interpretation, Wiederverwendung oder den Vergleich von Ergebnissen beeinflussen können.</w:t>
            </w:r>
          </w:p>
        </w:tc>
        <w:tc>
          <w:tcPr>
            <w:tcW w:type="dxa" w:w="4422"/>
          </w:tcPr>
          <w:p>
            <w:r>
              <w:rPr>
                <w:b w:val="0"/>
                <w:i w:val="0"/>
                <w:color w:val="646B82"/>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4422"/>
            <w:shd w:val="clear" w:fill="EEF0FB"/>
          </w:tcPr>
          <w:p>
            <w:r>
              <w:rPr>
                <w:b/>
                <w:i w:val="0"/>
                <w:color w:val="2F3F9E"/>
                <w:sz w:val="16"/>
              </w:rPr>
              <w:t>Mechanismen (in aktiver Entwicklung)</w:t>
            </w:r>
          </w:p>
        </w:tc>
        <w:tc>
          <w:tcPr>
            <w:tcW w:type="dxa" w:w="4422"/>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4422"/>
          </w:tcPr>
          <w:p>
            <w:r>
              <w:rPr>
                <w:b w:val="0"/>
                <w:i w:val="0"/>
                <w:sz w:val="16"/>
              </w:rPr>
              <w:t>API-basierter LDT-Ressourcenzugriff</w:t>
            </w:r>
          </w:p>
        </w:tc>
        <w:tc>
          <w:tcPr>
            <w:tcW w:type="dxa" w:w="4422"/>
          </w:tcPr>
          <w:p>
            <w:r>
              <w:rPr>
                <w:b w:val="0"/>
                <w:i w:val="0"/>
                <w:color w:val="646B82"/>
                <w:sz w:val="16"/>
              </w:rPr>
              <w:t>API-based LDT Resource Access</w:t>
            </w:r>
          </w:p>
        </w:tc>
      </w:tr>
      <w:tr>
        <w:tc>
          <w:tcPr>
            <w:tcW w:type="dxa" w:w="794"/>
          </w:tcPr>
          <w:p>
            <w:r>
              <w:rPr>
                <w:b/>
                <w:i w:val="0"/>
                <w:color w:val="0B7485"/>
                <w:sz w:val="16"/>
              </w:rPr>
              <w:t>M2</w:t>
            </w:r>
          </w:p>
        </w:tc>
        <w:tc>
          <w:tcPr>
            <w:tcW w:type="dxa" w:w="4422"/>
          </w:tcPr>
          <w:p>
            <w:r>
              <w:rPr>
                <w:b w:val="0"/>
                <w:i w:val="0"/>
                <w:sz w:val="16"/>
              </w:rPr>
              <w:t>Standardisierte Daten- und Ausgabeformate</w:t>
            </w:r>
          </w:p>
        </w:tc>
        <w:tc>
          <w:tcPr>
            <w:tcW w:type="dxa" w:w="4422"/>
          </w:tcPr>
          <w:p>
            <w:r>
              <w:rPr>
                <w:b w:val="0"/>
                <w:i w:val="0"/>
                <w:color w:val="646B82"/>
                <w:sz w:val="16"/>
              </w:rPr>
              <w:t>Standardised Data and Output Formats</w:t>
            </w:r>
          </w:p>
        </w:tc>
      </w:tr>
      <w:tr>
        <w:tc>
          <w:tcPr>
            <w:tcW w:type="dxa" w:w="794"/>
          </w:tcPr>
          <w:p>
            <w:r>
              <w:rPr>
                <w:b/>
                <w:i w:val="0"/>
                <w:color w:val="0B7485"/>
                <w:sz w:val="16"/>
              </w:rPr>
              <w:t>M3</w:t>
            </w:r>
          </w:p>
        </w:tc>
        <w:tc>
          <w:tcPr>
            <w:tcW w:type="dxa" w:w="4422"/>
          </w:tcPr>
          <w:p>
            <w:r>
              <w:rPr>
                <w:b w:val="0"/>
                <w:i w:val="0"/>
                <w:sz w:val="16"/>
              </w:rPr>
              <w:t>Model-as-a-Service</w:t>
            </w:r>
          </w:p>
        </w:tc>
        <w:tc>
          <w:tcPr>
            <w:tcW w:type="dxa" w:w="4422"/>
          </w:tcPr>
          <w:p>
            <w:r>
              <w:rPr>
                <w:b w:val="0"/>
                <w:i w:val="0"/>
                <w:color w:val="646B82"/>
                <w:sz w:val="16"/>
              </w:rPr>
              <w:t>Model-as-a-Service</w:t>
            </w:r>
          </w:p>
        </w:tc>
      </w:tr>
      <w:tr>
        <w:tc>
          <w:tcPr>
            <w:tcW w:type="dxa" w:w="794"/>
          </w:tcPr>
          <w:p>
            <w:r>
              <w:rPr>
                <w:b/>
                <w:i w:val="0"/>
                <w:color w:val="0B7485"/>
                <w:sz w:val="16"/>
              </w:rPr>
              <w:t>M4</w:t>
            </w:r>
          </w:p>
        </w:tc>
        <w:tc>
          <w:tcPr>
            <w:tcW w:type="dxa" w:w="4422"/>
          </w:tcPr>
          <w:p>
            <w:r>
              <w:rPr>
                <w:b w:val="0"/>
                <w:i w:val="0"/>
                <w:sz w:val="16"/>
              </w:rPr>
              <w:t>LDT-Workflow-Orchestrierung</w:t>
            </w:r>
          </w:p>
        </w:tc>
        <w:tc>
          <w:tcPr>
            <w:tcW w:type="dxa" w:w="4422"/>
          </w:tcPr>
          <w:p>
            <w:r>
              <w:rPr>
                <w:b w:val="0"/>
                <w:i w:val="0"/>
                <w:color w:val="646B82"/>
                <w:sz w:val="16"/>
              </w:rPr>
              <w:t>LDT Workflow Orchestration</w:t>
            </w:r>
          </w:p>
        </w:tc>
      </w:tr>
      <w:tr>
        <w:tc>
          <w:tcPr>
            <w:tcW w:type="dxa" w:w="794"/>
          </w:tcPr>
          <w:p>
            <w:r>
              <w:rPr>
                <w:b/>
                <w:i w:val="0"/>
                <w:color w:val="0B7485"/>
                <w:sz w:val="16"/>
              </w:rPr>
              <w:t>M5</w:t>
            </w:r>
          </w:p>
        </w:tc>
        <w:tc>
          <w:tcPr>
            <w:tcW w:type="dxa" w:w="4422"/>
          </w:tcPr>
          <w:p>
            <w:r>
              <w:rPr>
                <w:b w:val="0"/>
                <w:i w:val="0"/>
                <w:sz w:val="16"/>
              </w:rPr>
              <w:t>Zugriff auf Multi-View-Ausgaben und -Visualisierungen</w:t>
            </w:r>
          </w:p>
        </w:tc>
        <w:tc>
          <w:tcPr>
            <w:tcW w:type="dxa" w:w="4422"/>
          </w:tcPr>
          <w:p>
            <w:r>
              <w:rPr>
                <w:b w:val="0"/>
                <w:i w:val="0"/>
                <w:color w:val="646B82"/>
                <w:sz w:val="16"/>
              </w:rPr>
              <w:t>Multi-view Output and Visualisation Access</w:t>
            </w:r>
          </w:p>
        </w:tc>
      </w:tr>
    </w:tbl>
    <w:p>
      <w:pPr>
        <w:spacing w:before="160" w:after="40"/>
      </w:pPr>
      <w:r>
        <w:rPr>
          <w:b w:val="0"/>
          <w:i w:val="0"/>
          <w:color w:val="646B82"/>
          <w:sz w:val="18"/>
        </w:rPr>
        <w:t xml:space="preserve">Vollständige Spezifikation: </w:t>
      </w:r>
      <w:hyperlink r:id="rId19">
        <w:r>
          <w:rPr>
            <w:color w:val="2F3F9E"/>
            <w:u w:val="single"/>
            <w:sz w:val="18"/>
          </w:rPr>
          <w:t>https://mims.oascities.org/local-digital-twins</w:t>
        </w:r>
      </w:hyperlink>
    </w:p>
    <w:p>
      <w:r>
        <w:br w:type="page"/>
      </w:r>
    </w:p>
    <w:p>
      <w:pPr>
        <w:spacing w:before="120" w:after="40"/>
      </w:pPr>
      <w:r>
        <w:rPr>
          <w:b/>
          <w:i w:val="0"/>
          <w:color w:val="2F3F9E"/>
          <w:sz w:val="36"/>
        </w:rPr>
        <w:t>Querschnittliche Vertragsklauseln</w:t>
      </w:r>
    </w:p>
    <w:p>
      <w:pPr>
        <w:spacing w:before="40" w:after="120"/>
      </w:pPr>
      <w:r>
        <w:rPr>
          <w:b/>
          <w:i w:val="0"/>
          <w:color w:val="0B7485"/>
          <w:sz w:val="22"/>
        </w:rPr>
        <w:t>Schutzvorkehrungen gegen Lock-in-Effekte</w:t>
      </w:r>
    </w:p>
    <w:p>
      <w:pPr>
        <w:spacing w:before="40" w:after="200"/>
      </w:pPr>
      <w:r>
        <w:rPr>
          <w:b w:val="0"/>
          <w:i w:val="0"/>
          <w:sz w:val="20"/>
        </w:rPr>
        <w:t>Diese Klauseln gehören in jedes Vergabeverfahren, unabhängig vom konkreten Beschaffungsgegenstand. Sie entstammen der Beschaffungspraxis rund um die MIMs und living-in.eu. Die meisten stützen sich nicht auf eine einzelne Anforderung der Spezifikation und tragen daher keine Referenzcodes (die API-Versionierung ist zudem eine Empfehlung aus MIM0 C2). Ihre Aufnahme verursacht kaum Aufwand; ihr Fehlen kann gravierende Folgen haben.</w:t>
      </w:r>
    </w:p>
    <w:p>
      <w:pPr>
        <w:spacing w:before="40" w:after="20"/>
      </w:pPr>
      <w:r>
        <w:rPr>
          <w:b/>
          <w:i w:val="0"/>
          <w:color w:val="2F3F9E"/>
          <w:sz w:val="22"/>
        </w:rPr>
        <w:t xml:space="preserve">☐  </w:t>
      </w:r>
      <w:r>
        <w:rPr>
          <w:b/>
          <w:i w:val="0"/>
          <w:color w:val="2F3F9E"/>
          <w:sz w:val="21"/>
        </w:rPr>
        <w:t>X.1  Exit-Klausel</w:t>
      </w:r>
    </w:p>
    <w:p>
      <w:pPr>
        <w:spacing w:before="40" w:after="160"/>
      </w:pPr>
      <w:r>
        <w:rPr>
          <w:b w:val="0"/>
          <w:i w:val="0"/>
          <w:sz w:val="20"/>
        </w:rPr>
        <w:t>Bei Vertragsende werden alle Daten der Stadt (samt Konfigurationen) ohne zusätzliche Kosten in offenen, dokumentierten Formaten übergeben.</w:t>
      </w:r>
    </w:p>
    <w:p>
      <w:pPr>
        <w:spacing w:before="40" w:after="20"/>
      </w:pPr>
      <w:r>
        <w:rPr>
          <w:b/>
          <w:i w:val="0"/>
          <w:color w:val="2F3F9E"/>
          <w:sz w:val="22"/>
        </w:rPr>
        <w:t xml:space="preserve">☐  </w:t>
      </w:r>
      <w:r>
        <w:rPr>
          <w:b/>
          <w:i w:val="0"/>
          <w:color w:val="2F3F9E"/>
          <w:sz w:val="21"/>
        </w:rPr>
        <w:t>X.2  Rechte an den Daten</w:t>
      </w:r>
    </w:p>
    <w:p>
      <w:pPr>
        <w:spacing w:before="40" w:after="160"/>
      </w:pPr>
      <w:r>
        <w:rPr>
          <w:b w:val="0"/>
          <w:i w:val="0"/>
          <w:sz w:val="20"/>
        </w:rPr>
        <w:t>Sämtliche Rechte an den im Rahmen des Vertrags erfassten und daraus abgeleiteten Daten stehen dem öffentlichen Auftraggeber zu.</w:t>
      </w:r>
    </w:p>
    <w:p>
      <w:pPr>
        <w:spacing w:before="40" w:after="20"/>
      </w:pPr>
      <w:r>
        <w:rPr>
          <w:b/>
          <w:i w:val="0"/>
          <w:color w:val="2F3F9E"/>
          <w:sz w:val="22"/>
        </w:rPr>
        <w:t xml:space="preserve">☐  </w:t>
      </w:r>
      <w:r>
        <w:rPr>
          <w:b/>
          <w:i w:val="0"/>
          <w:color w:val="2F3F9E"/>
          <w:sz w:val="21"/>
        </w:rPr>
        <w:t>X.3  Keine Gebühren für eigene Daten</w:t>
      </w:r>
    </w:p>
    <w:p>
      <w:pPr>
        <w:spacing w:before="40" w:after="160"/>
      </w:pPr>
      <w:r>
        <w:rPr>
          <w:b w:val="0"/>
          <w:i w:val="0"/>
          <w:sz w:val="20"/>
        </w:rPr>
        <w:t>Der öffentliche Auftraggeber zahlt kein Entgelt für den Zugriff auf seine eigenen Daten, weder pro Nutzer noch pro Abfrage.</w:t>
      </w:r>
    </w:p>
    <w:p>
      <w:pPr>
        <w:spacing w:before="40" w:after="20"/>
      </w:pPr>
      <w:r>
        <w:rPr>
          <w:b/>
          <w:i w:val="0"/>
          <w:color w:val="2F3F9E"/>
          <w:sz w:val="22"/>
        </w:rPr>
        <w:t xml:space="preserve">☐  </w:t>
      </w:r>
      <w:r>
        <w:rPr>
          <w:b/>
          <w:i w:val="0"/>
          <w:color w:val="2F3F9E"/>
          <w:sz w:val="21"/>
        </w:rPr>
        <w:t>X.4  API-Stabilität und Versionierung</w:t>
      </w:r>
    </w:p>
    <w:p>
      <w:pPr>
        <w:spacing w:before="40" w:after="160"/>
      </w:pPr>
      <w:r>
        <w:rPr>
          <w:b w:val="0"/>
          <w:i w:val="0"/>
          <w:sz w:val="20"/>
        </w:rPr>
        <w:t>Der Auftragnehmer hält die API über die gesamte Vertragslaufzeit abwärtskompatibel. Inkompatible Änderungen („breaking changes“) werden mindestens 6 Monate im Voraus angekündigt und als neue Version bereitgestellt, während die bisherige Version bis zum vereinbarten Umstellungszeitpunkt verfügbar bleibt.</w:t>
      </w:r>
    </w:p>
    <w:p>
      <w:pPr>
        <w:spacing w:before="40" w:after="20"/>
      </w:pPr>
      <w:r>
        <w:rPr>
          <w:b/>
          <w:i w:val="0"/>
          <w:color w:val="2F3F9E"/>
          <w:sz w:val="22"/>
        </w:rPr>
        <w:t xml:space="preserve">☐  </w:t>
      </w:r>
      <w:r>
        <w:rPr>
          <w:b/>
          <w:i w:val="0"/>
          <w:color w:val="2F3F9E"/>
          <w:sz w:val="21"/>
        </w:rPr>
        <w:t>X.5  Nachweisen statt versprechen</w:t>
      </w:r>
    </w:p>
    <w:p>
      <w:pPr>
        <w:spacing w:before="40" w:after="160"/>
      </w:pPr>
      <w:r>
        <w:rPr>
          <w:b w:val="0"/>
          <w:i w:val="0"/>
          <w:sz w:val="20"/>
        </w:rPr>
        <w:t>Bieter weisen die Erfüllung im Rahmen der Angebotswertung nach, statt bloße Eigenerklärungen abzugeben. Bei einer API bedeutet dies eine veröffentlichte interaktive Dokumentation (wie OpenAPI) sowie ein funktionierender Testaufruf, der valide Daten liefert. Jeder ausgewählte Punkt wird bei der Abnahme erneut geprüft.</w:t>
      </w:r>
    </w:p>
    <w:p>
      <w:pPr>
        <w:spacing w:before="40" w:after="20"/>
      </w:pPr>
      <w:r>
        <w:rPr>
          <w:b/>
          <w:i w:val="0"/>
          <w:color w:val="2F3F9E"/>
          <w:sz w:val="22"/>
        </w:rPr>
        <w:t xml:space="preserve">☐  </w:t>
      </w:r>
      <w:r>
        <w:rPr>
          <w:b/>
          <w:i w:val="0"/>
          <w:color w:val="2F3F9E"/>
          <w:sz w:val="21"/>
        </w:rPr>
        <w:t>X.6  Benennung offener Standards</w:t>
      </w:r>
    </w:p>
    <w:p>
      <w:pPr>
        <w:spacing w:before="40" w:after="160"/>
      </w:pPr>
      <w:r>
        <w:rPr>
          <w:b w:val="0"/>
          <w:i w:val="0"/>
          <w:sz w:val="20"/>
        </w:rPr>
        <w:t>Die Ausschreibung benennt konkrete Standards; Angaben zur Kompatibilität müssen die genaue Schnittstelle und Version bezeichnen. Jeder Verweis auf eine Norm oder technische Spezifikation lässt eine gleichwertige Lösung zu; der Bieter weist die Gleichwertigkeit nach.</w:t>
      </w:r>
    </w:p>
    <w:p>
      <w:pPr>
        <w:spacing w:before="40" w:after="20"/>
      </w:pPr>
      <w:r>
        <w:rPr>
          <w:b/>
          <w:i w:val="0"/>
          <w:color w:val="2F3F9E"/>
          <w:sz w:val="22"/>
        </w:rPr>
        <w:t xml:space="preserve">☐  </w:t>
      </w:r>
      <w:r>
        <w:rPr>
          <w:b/>
          <w:i w:val="0"/>
          <w:color w:val="2F3F9E"/>
          <w:sz w:val="21"/>
        </w:rPr>
        <w:t>X.7  MIMs-Konformitätserklärung</w:t>
      </w:r>
    </w:p>
    <w:p>
      <w:pPr>
        <w:spacing w:before="40" w:after="160"/>
      </w:pPr>
      <w:r>
        <w:rPr>
          <w:b w:val="0"/>
          <w:i w:val="0"/>
          <w:sz w:val="20"/>
        </w:rPr>
        <w:t>Der Bieter füllt die Konformitätstabelle (S. 28) vollständig aus; sie wird Bestandteil des Vertrags.</w:t>
      </w:r>
    </w:p>
    <w:p>
      <w:r>
        <w:br w:type="page"/>
      </w:r>
    </w:p>
    <w:p>
      <w:pPr>
        <w:spacing w:before="120" w:after="160"/>
      </w:pPr>
      <w:r>
        <w:rPr>
          <w:b/>
          <w:i w:val="0"/>
          <w:color w:val="2F3F9E"/>
          <w:sz w:val="36"/>
        </w:rPr>
        <w:t>Beispiel: Eine Stadt beschafft ein Messnetz für Luftgütesensoren</w:t>
      </w:r>
    </w:p>
    <w:p>
      <w:pPr>
        <w:spacing w:before="40" w:after="160"/>
      </w:pPr>
      <w:r>
        <w:rPr>
          <w:b w:val="0"/>
          <w:i w:val="0"/>
          <w:sz w:val="20"/>
        </w:rPr>
        <w:t>Ausgewählte Seiten: MIM0, MIM1, MIM2, MIM6 und MIM7 (die Daten werden auf einer Karte dargestellt). Aus MIM3 nur Kriterium 3.1 (Luftqualitätsdaten werden als offene Daten bereitgestellt, gehören also in einen Katalog); MIM8 findet keine Anwendung: Das System ist kein digitaler Zwilling.</w:t>
      </w:r>
    </w:p>
    <w:p>
      <w:pPr>
        <w:spacing w:before="40" w:after="80"/>
      </w:pPr>
      <w:r>
        <w:rPr>
          <w:b/>
          <w:i w:val="0"/>
          <w:color w:val="2F3F9E"/>
          <w:sz w:val="22"/>
        </w:rPr>
        <w:t>Was gehört an welche Stelle?</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Dokument</w:t>
            </w:r>
          </w:p>
        </w:tc>
        <w:tc>
          <w:tcPr>
            <w:tcW w:type="dxa" w:w="3324"/>
            <w:shd w:val="clear" w:fill="EEF0FB"/>
          </w:tcPr>
          <w:p>
            <w:r>
              <w:rPr>
                <w:b/>
                <w:i w:val="0"/>
                <w:color w:val="2F3F9E"/>
                <w:sz w:val="18"/>
              </w:rPr>
              <w:t>Begriff in Richtlinie 2014/24/EU</w:t>
            </w:r>
          </w:p>
        </w:tc>
        <w:tc>
          <w:tcPr>
            <w:tcW w:type="dxa" w:w="3324"/>
            <w:shd w:val="clear" w:fill="EEF0FB"/>
          </w:tcPr>
          <w:p>
            <w:r>
              <w:rPr>
                <w:b/>
                <w:i w:val="0"/>
                <w:color w:val="2F3F9E"/>
                <w:sz w:val="18"/>
              </w:rPr>
              <w:t>Einzusetzender Inhalt</w:t>
            </w:r>
          </w:p>
        </w:tc>
      </w:tr>
      <w:tr>
        <w:tc>
          <w:tcPr>
            <w:tcW w:type="dxa" w:w="3324"/>
          </w:tcPr>
          <w:p>
            <w:r>
              <w:rPr>
                <w:b/>
                <w:i w:val="0"/>
                <w:color w:val="2F3F9E"/>
                <w:sz w:val="18"/>
              </w:rPr>
              <w:t>Leistungsbeschreibung</w:t>
            </w:r>
          </w:p>
        </w:tc>
        <w:tc>
          <w:tcPr>
            <w:tcW w:type="dxa" w:w="3324"/>
          </w:tcPr>
          <w:p>
            <w:r>
              <w:rPr>
                <w:b w:val="0"/>
                <w:i w:val="0"/>
                <w:color w:val="646B82"/>
                <w:sz w:val="17"/>
              </w:rPr>
              <w:t>Technische Spezifikationen (Art. 42)</w:t>
            </w:r>
          </w:p>
        </w:tc>
        <w:tc>
          <w:tcPr>
            <w:tcW w:type="dxa" w:w="3324"/>
          </w:tcPr>
          <w:p>
            <w:r>
              <w:rPr>
                <w:b w:val="0"/>
                <w:i w:val="0"/>
                <w:sz w:val="18"/>
              </w:rPr>
              <w:t>Die ausgewählten Kriterien aus MIM0, MIM1, MIM2, MIM3 (nur 3.1), MIM6 (außer 6.4) und MIM7 im Wortlaut samt Spezifikationscode sowie dem Zusatz zur Gleichwertigkeit</w:t>
            </w:r>
          </w:p>
        </w:tc>
      </w:tr>
      <w:tr>
        <w:tc>
          <w:tcPr>
            <w:tcW w:type="dxa" w:w="3324"/>
          </w:tcPr>
          <w:p>
            <w:r>
              <w:rPr>
                <w:b/>
                <w:i w:val="0"/>
                <w:color w:val="2F3F9E"/>
                <w:sz w:val="18"/>
              </w:rPr>
              <w:t>Teilnahmebedingungen</w:t>
            </w:r>
          </w:p>
        </w:tc>
        <w:tc>
          <w:tcPr>
            <w:tcW w:type="dxa" w:w="3324"/>
          </w:tcPr>
          <w:p>
            <w:r>
              <w:rPr>
                <w:b w:val="0"/>
                <w:i w:val="0"/>
                <w:color w:val="646B82"/>
                <w:sz w:val="17"/>
              </w:rPr>
              <w:t>Eignungskriterien (Art. 58 und 62)</w:t>
            </w:r>
          </w:p>
        </w:tc>
        <w:tc>
          <w:tcPr>
            <w:tcW w:type="dxa" w:w="3324"/>
          </w:tcPr>
          <w:p>
            <w:r>
              <w:rPr>
                <w:b w:val="0"/>
                <w:i w:val="0"/>
                <w:sz w:val="18"/>
              </w:rPr>
              <w:t>Nachgewiesene Ausrichtung an ISO/IEC 27001:2022 oder gleichwertig (Kriterium 6.4)</w:t>
            </w:r>
          </w:p>
        </w:tc>
      </w:tr>
      <w:tr>
        <w:tc>
          <w:tcPr>
            <w:tcW w:type="dxa" w:w="3324"/>
          </w:tcPr>
          <w:p>
            <w:r>
              <w:rPr>
                <w:b/>
                <w:i w:val="0"/>
                <w:color w:val="2F3F9E"/>
                <w:sz w:val="18"/>
              </w:rPr>
              <w:t>Nachweisführung</w:t>
            </w:r>
          </w:p>
        </w:tc>
        <w:tc>
          <w:tcPr>
            <w:tcW w:type="dxa" w:w="3324"/>
          </w:tcPr>
          <w:p>
            <w:r>
              <w:rPr>
                <w:b w:val="0"/>
                <w:i w:val="0"/>
                <w:color w:val="646B82"/>
                <w:sz w:val="17"/>
              </w:rPr>
              <w:t>Prüfberichte, Zertifizierungen und andere Nachweismittel (Art. 44)</w:t>
            </w:r>
          </w:p>
        </w:tc>
        <w:tc>
          <w:tcPr>
            <w:tcW w:type="dxa" w:w="3324"/>
          </w:tcPr>
          <w:p>
            <w:r>
              <w:rPr>
                <w:b w:val="0"/>
                <w:i w:val="0"/>
                <w:sz w:val="18"/>
              </w:rPr>
              <w:t>Die Konformitätstabelle als zwingende Anlage zum Angebot: E, G oder N für jedes Kriterium samt Nachweis (Adresse der API-Dokumentation, Testzugang)</w:t>
            </w:r>
          </w:p>
        </w:tc>
      </w:tr>
      <w:tr>
        <w:tc>
          <w:tcPr>
            <w:tcW w:type="dxa" w:w="3324"/>
          </w:tcPr>
          <w:p>
            <w:r>
              <w:rPr>
                <w:b/>
                <w:i w:val="0"/>
                <w:color w:val="2F3F9E"/>
                <w:sz w:val="18"/>
              </w:rPr>
              <w:t>Vertragsentwurf</w:t>
            </w:r>
          </w:p>
        </w:tc>
        <w:tc>
          <w:tcPr>
            <w:tcW w:type="dxa" w:w="3324"/>
          </w:tcPr>
          <w:p>
            <w:r>
              <w:rPr>
                <w:b w:val="0"/>
                <w:i w:val="0"/>
                <w:color w:val="646B82"/>
                <w:sz w:val="17"/>
              </w:rPr>
              <w:t>Bedingungen für die Ausführung des Auftrags (Art. 70)</w:t>
            </w:r>
          </w:p>
        </w:tc>
        <w:tc>
          <w:tcPr>
            <w:tcW w:type="dxa" w:w="3324"/>
          </w:tcPr>
          <w:p>
            <w:r>
              <w:rPr>
                <w:b w:val="0"/>
                <w:i w:val="0"/>
                <w:sz w:val="18"/>
              </w:rPr>
              <w:t>Exit-Klausel, Rechte an den Daten, Keine Gebühren für eigene Daten, API-Stabilität und Versionierung; die ausgefüllte Konformitätstabelle als Anlage</w:t>
            </w:r>
          </w:p>
        </w:tc>
      </w:tr>
      <w:tr>
        <w:tc>
          <w:tcPr>
            <w:tcW w:type="dxa" w:w="3324"/>
          </w:tcPr>
          <w:p>
            <w:r>
              <w:rPr>
                <w:b/>
                <w:i w:val="0"/>
                <w:color w:val="2F3F9E"/>
                <w:sz w:val="18"/>
              </w:rPr>
              <w:t>Abnahmeprotokoll</w:t>
            </w:r>
          </w:p>
        </w:tc>
        <w:tc>
          <w:tcPr>
            <w:tcW w:type="dxa" w:w="3324"/>
          </w:tcPr>
          <w:p>
            <w:r>
              <w:rPr>
                <w:b w:val="0"/>
                <w:i w:val="0"/>
                <w:color w:val="646B82"/>
                <w:sz w:val="17"/>
              </w:rPr>
              <w:t>Bedingungen für die Ausführung des Auftrags (Art. 70)</w:t>
            </w:r>
          </w:p>
        </w:tc>
        <w:tc>
          <w:tcPr>
            <w:tcW w:type="dxa" w:w="3324"/>
          </w:tcPr>
          <w:p>
            <w:r>
              <w:rPr>
                <w:b w:val="0"/>
                <w:i w:val="0"/>
                <w:sz w:val="18"/>
              </w:rPr>
              <w:t>Die Spalte „Geprüft“ der Konformitätstabelle als Prüfprotokoll</w:t>
            </w:r>
          </w:p>
        </w:tc>
      </w:tr>
    </w:tbl>
    <w:p>
      <w:pPr>
        <w:spacing w:before="200" w:after="80"/>
      </w:pPr>
      <w:r>
        <w:rPr>
          <w:b/>
          <w:i w:val="0"/>
          <w:color w:val="2F3F9E"/>
          <w:sz w:val="22"/>
        </w:rPr>
        <w:t>Musterformulierung für die Leistungsbeschreibung</w:t>
      </w:r>
    </w:p>
    <w:p>
      <w:pPr>
        <w:spacing w:before="40" w:after="60"/>
      </w:pPr>
      <w:r>
        <w:rPr>
          <w:b/>
          <w:i w:val="0"/>
          <w:sz w:val="19"/>
        </w:rPr>
        <w:t>4.3 Interoperabilität und Datenzugriff</w:t>
      </w:r>
    </w:p>
    <w:p>
      <w:pPr>
        <w:spacing w:before="40" w:after="60"/>
      </w:pPr>
      <w:r>
        <w:rPr>
          <w:b w:val="0"/>
          <w:i w:val="0"/>
          <w:sz w:val="19"/>
        </w:rPr>
        <w:t>4.3.1 Alle vom System erfassten oder erzeugten Daten sind in mindestens einem maschinenlesbaren Format (z. B. JSON, CSV) über eine Standard-Web-API abrufbar. (MIMs Plus 9.0, MIM0 R1.1, R1.2)</w:t>
      </w:r>
    </w:p>
    <w:p>
      <w:pPr>
        <w:spacing w:before="40" w:after="60"/>
      </w:pPr>
      <w:r>
        <w:rPr>
          <w:b w:val="0"/>
          <w:i w:val="0"/>
          <w:sz w:val="19"/>
        </w:rPr>
        <w:t>4.3.2 Die API ist in einem offenen, maschinenlesbaren Dokument (beispielsweise OpenAPI) formal beschrieben, das unter einer stabilen Adresse bereitgestellt wird. (MIM0 R1.3)</w:t>
      </w:r>
    </w:p>
    <w:p>
      <w:pPr>
        <w:spacing w:before="40" w:after="60"/>
      </w:pPr>
      <w:r>
        <w:rPr>
          <w:b w:val="0"/>
          <w:i w:val="0"/>
          <w:sz w:val="19"/>
        </w:rPr>
        <w:t>4.3.3 Die API ermöglicht das Filtern von Daten nach Erfassungszeitpunkt und Messort. (MIM0 R2.1, R2.2)</w:t>
      </w:r>
    </w:p>
    <w:p>
      <w:pPr>
        <w:spacing w:before="40" w:after="60"/>
      </w:pPr>
      <w:r>
        <w:rPr>
          <w:b w:val="0"/>
          <w:i w:val="0"/>
          <w:sz w:val="19"/>
        </w:rPr>
        <w:t>… 4.3.4 bis 4.3.21: weitere ausgewählte Kriterien …</w:t>
      </w:r>
    </w:p>
    <w:p>
      <w:pPr>
        <w:spacing w:before="40" w:after="60"/>
      </w:pPr>
      <w:r>
        <w:rPr>
          <w:b w:val="0"/>
          <w:i w:val="0"/>
          <w:sz w:val="19"/>
        </w:rPr>
        <w:t>4.3.22 Jeder Verweis auf eine Norm oder technische Spezifikation lässt eine gleichwertige Lösung zu; der Bieter weist die Gleichwertigkeit nach.</w:t>
      </w:r>
    </w:p>
    <w:p>
      <w:pPr>
        <w:spacing w:before="40" w:after="60"/>
      </w:pPr>
      <w:r>
        <w:rPr>
          <w:b w:val="0"/>
          <w:i w:val="0"/>
          <w:sz w:val="19"/>
        </w:rPr>
        <w:t>4.3.23 Der Bieter füllt die Konformitätstabelle (Anlage zu den Vergabeunterlagen) vollständig aus und benennt für jedes geforderte Kriterium die Nachweise. Während der Angebotswertung weist der Bieter die Punkte 4.3.1 bis 4.3.21 nach (beispielsweise durch einen Live-API-Aufruf); ein Angebot, das einen geforderten Punkt nicht erfüllt, entspricht nicht den Anforderungen an den Auftragsgegenstand. Der öffentliche Auftraggeber prüft die Punkte bei der Abnahme erneut; eine Nichterfüllung zu diesem Zeitpunkt berechtigt zur Verweigerung der Abnahme.</w:t>
      </w:r>
    </w:p>
    <w:p>
      <w:pPr>
        <w:spacing w:before="120" w:after="80"/>
      </w:pPr>
      <w:r>
        <w:rPr>
          <w:b w:val="0"/>
          <w:i/>
          <w:color w:val="646B82"/>
          <w:sz w:val="18"/>
        </w:rPr>
        <w:t>Punkt 4.3.3 zeigt, wie Sie ein Kriterium passgenau schärfen können: Bei Sensoren ist die gezielte Filterung nach Messzeitpunkt und Messort fachlich geboten.</w:t>
      </w:r>
    </w:p>
    <w:p>
      <w:pPr>
        <w:spacing w:before="160" w:after="80"/>
      </w:pPr>
      <w:r>
        <w:rPr>
          <w:b/>
          <w:i w:val="0"/>
          <w:color w:val="2F3F9E"/>
          <w:sz w:val="22"/>
        </w:rPr>
        <w:t>Ausgefüllte Konformitätstabelle (Auszug)</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Kriterium (Kurztext)</w:t>
            </w:r>
          </w:p>
        </w:tc>
        <w:tc>
          <w:tcPr>
            <w:tcW w:type="dxa" w:w="1994"/>
            <w:shd w:val="clear" w:fill="EEF0FB"/>
          </w:tcPr>
          <w:p>
            <w:r>
              <w:rPr>
                <w:b/>
                <w:i w:val="0"/>
                <w:color w:val="2F3F9E"/>
                <w:sz w:val="17"/>
              </w:rPr>
              <w:t>E / G / N</w:t>
            </w:r>
          </w:p>
        </w:tc>
        <w:tc>
          <w:tcPr>
            <w:tcW w:type="dxa" w:w="1994"/>
            <w:shd w:val="clear" w:fill="EEF0FB"/>
          </w:tcPr>
          <w:p>
            <w:r>
              <w:rPr>
                <w:b/>
                <w:i w:val="0"/>
                <w:color w:val="2F3F9E"/>
                <w:sz w:val="17"/>
              </w:rPr>
              <w:t>Nachweis: Wie und wo</w:t>
            </w:r>
          </w:p>
        </w:tc>
        <w:tc>
          <w:tcPr>
            <w:tcW w:type="dxa" w:w="1994"/>
            <w:shd w:val="clear" w:fill="EEF0FB"/>
          </w:tcPr>
          <w:p>
            <w:r>
              <w:rPr>
                <w:b/>
                <w:i w:val="0"/>
                <w:color w:val="2F3F9E"/>
                <w:sz w:val="17"/>
              </w:rPr>
              <w:t>Geprüft</w:t>
            </w:r>
          </w:p>
        </w:tc>
      </w:tr>
      <w:tr>
        <w:tc>
          <w:tcPr>
            <w:tcW w:type="dxa" w:w="1994"/>
          </w:tcPr>
          <w:p>
            <w:r>
              <w:rPr>
                <w:b w:val="0"/>
                <w:i w:val="0"/>
                <w:sz w:val="17"/>
              </w:rPr>
              <w:t>0.1</w:t>
            </w:r>
          </w:p>
        </w:tc>
        <w:tc>
          <w:tcPr>
            <w:tcW w:type="dxa" w:w="1994"/>
          </w:tcPr>
          <w:p>
            <w:r>
              <w:rPr>
                <w:b w:val="0"/>
                <w:i w:val="0"/>
                <w:sz w:val="17"/>
              </w:rPr>
              <w:t>Maschinenlesbare Daten via Standard-Web-API</w:t>
            </w:r>
          </w:p>
        </w:tc>
        <w:tc>
          <w:tcPr>
            <w:tcW w:type="dxa" w:w="1994"/>
          </w:tcPr>
          <w:p>
            <w:r>
              <w:rPr>
                <w:b w:val="0"/>
                <w:i w:val="0"/>
                <w:sz w:val="17"/>
              </w:rPr>
              <w:t>E</w:t>
            </w:r>
          </w:p>
        </w:tc>
        <w:tc>
          <w:tcPr>
            <w:tcW w:type="dxa" w:w="1994"/>
          </w:tcPr>
          <w:p>
            <w:r>
              <w:rPr>
                <w:b w:val="0"/>
                <w:i w:val="0"/>
                <w:sz w:val="17"/>
              </w:rPr>
              <w:t>REST-API liefert JSON und CSV; Dokumentation unter der im Angebot S. 12 genannten Adresse; Testzugang in Anlage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Abonnement von Änderungen bei Bedarf</w:t>
            </w:r>
          </w:p>
        </w:tc>
        <w:tc>
          <w:tcPr>
            <w:tcW w:type="dxa" w:w="1994"/>
          </w:tcPr>
          <w:p>
            <w:r>
              <w:rPr>
                <w:b w:val="0"/>
                <w:i w:val="0"/>
                <w:sz w:val="17"/>
              </w:rPr>
              <w:t>N</w:t>
            </w:r>
          </w:p>
        </w:tc>
        <w:tc>
          <w:tcPr>
            <w:tcW w:type="dxa" w:w="1994"/>
          </w:tcPr>
          <w:p>
            <w:r>
              <w:rPr>
                <w:b w:val="0"/>
                <w:i w:val="0"/>
                <w:sz w:val="17"/>
              </w:rPr>
              <w:t>derzeit nicht unterstützt; für die nächste Version geplant</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Offene Geoformate</w:t>
            </w:r>
          </w:p>
        </w:tc>
        <w:tc>
          <w:tcPr>
            <w:tcW w:type="dxa" w:w="1994"/>
          </w:tcPr>
          <w:p>
            <w:r>
              <w:rPr>
                <w:b w:val="0"/>
                <w:i w:val="0"/>
                <w:sz w:val="17"/>
              </w:rPr>
              <w:t>G</w:t>
            </w:r>
          </w:p>
        </w:tc>
        <w:tc>
          <w:tcPr>
            <w:tcW w:type="dxa" w:w="1994"/>
          </w:tcPr>
          <w:p>
            <w:r>
              <w:rPr>
                <w:b w:val="0"/>
                <w:i w:val="0"/>
                <w:sz w:val="17"/>
              </w:rPr>
              <w:t>liefert GeoPackage (offener OGC-Standard) statt GeoJSON; Gleichwertigkeit im Angebot S. 15 begründet</w:t>
            </w:r>
          </w:p>
        </w:tc>
        <w:tc>
          <w:tcPr>
            <w:tcW w:type="dxa" w:w="1994"/>
          </w:tcPr>
          <w:p>
            <w:r>
              <w:rPr>
                <w:b w:val="0"/>
                <w:i w:val="0"/>
                <w:sz w:val="17"/>
              </w:rPr>
              <w:t>✓</w:t>
            </w:r>
          </w:p>
        </w:tc>
      </w:tr>
    </w:tbl>
    <w:p>
      <w:pPr>
        <w:spacing w:before="80" w:after="80"/>
      </w:pPr>
      <w:r>
        <w:rPr>
          <w:b w:val="0"/>
          <w:i/>
          <w:color w:val="646B82"/>
          <w:sz w:val="18"/>
        </w:rPr>
        <w:t>Ein Versprechen künftiger Funktionalität gilt als N: Das Wertungsgremium prüft nur, was der Bieter vorweisen kann. Bei einem geforderten Kriterium bedeutet N, dass das Angebot den Anforderungen an den Auftragsgegenstand nicht entspricht.</w:t>
      </w:r>
    </w:p>
    <w:p>
      <w:pPr>
        <w:spacing w:before="40" w:after="80"/>
      </w:pPr>
      <w:r>
        <w:rPr>
          <w:b w:val="0"/>
          <w:i/>
          <w:color w:val="646B82"/>
          <w:sz w:val="18"/>
        </w:rPr>
        <w:t>Passen Sie die Formulierung an das nationale Vergaberecht an und lassen Sie diese durch die vergaberechtlich zuständige Stelle prüfen.</w:t>
      </w:r>
    </w:p>
    <w:p>
      <w:r>
        <w:br w:type="page"/>
      </w:r>
    </w:p>
    <w:p>
      <w:pPr>
        <w:spacing w:before="120" w:after="160"/>
      </w:pPr>
      <w:r>
        <w:rPr>
          <w:b/>
          <w:i w:val="0"/>
          <w:color w:val="2F3F9E"/>
          <w:sz w:val="36"/>
        </w:rPr>
        <w:t>Konformitätstabelle</w:t>
      </w:r>
    </w:p>
    <w:p>
      <w:pPr>
        <w:spacing w:before="40" w:after="80"/>
      </w:pPr>
      <w:r>
        <w:rPr>
          <w:b w:val="0"/>
          <w:i w:val="0"/>
          <w:sz w:val="19"/>
        </w:rPr>
        <w:t>Eine Zeile pro Kriterium. Der öffentliche Auftraggeber markiert die vertraglich geforderten Punkte und fügt die Tabelle den Vergabeunterlagen als zwingende Angebotsanlage bei. Zu jedem geforderten Kriterium trägt der Bieter E (erfüllt), G (durch Gleichwertiges erfüllt) oder N (nicht erfüllt) ein, erläutert kurz die Umsetzung und benennt die Nachweise: Adresse der Dokumentation, Testzugang, Fundstelle im Angebot. Eine Erklärung ohne Beleg genügt nicht. Das Wertungsgremium prüft jedes Kriterium bei der Angebotswertung und erneut bei der Abnahme (✓ bestätigt, ✗ nicht bestätigt, — nicht geprüft).</w:t>
      </w:r>
    </w:p>
    <w:p>
      <w:pPr>
        <w:spacing w:before="40" w:after="160"/>
      </w:pPr>
      <w:r>
        <w:rPr>
          <w:b w:val="0"/>
          <w:i w:val="0"/>
          <w:sz w:val="19"/>
        </w:rPr>
        <w:t>Die ausgefüllte Tabelle ist Bestandteil des Angebots und wird Anlage zum Vertrag. Sie prüft, ob die Anforderungen an den Auftragsgegenstand erfüllt sind (erfüllt / nicht erfüllt); sie ist kein Zuschlagskriterium. Soll der Erfüllungsgrad bewertet werden, ist dies vorab in den Zuschlagskriterien der Vergabeunterlagen festzulegen (Richtlinie 2014/24/EU, Artikel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Kriterium (Kurztext)</w:t>
            </w:r>
          </w:p>
        </w:tc>
        <w:tc>
          <w:tcPr>
            <w:tcW w:type="dxa" w:w="1701"/>
            <w:shd w:val="clear" w:fill="EEF0FB"/>
          </w:tcPr>
          <w:p>
            <w:r>
              <w:rPr>
                <w:b/>
                <w:i w:val="0"/>
                <w:color w:val="2F3F9E"/>
                <w:sz w:val="17"/>
              </w:rPr>
              <w:t>Spez.-Ref.</w:t>
            </w:r>
          </w:p>
        </w:tc>
        <w:tc>
          <w:tcPr>
            <w:tcW w:type="dxa" w:w="1077"/>
            <w:shd w:val="clear" w:fill="EEF0FB"/>
          </w:tcPr>
          <w:p>
            <w:r>
              <w:rPr>
                <w:b/>
                <w:i w:val="0"/>
                <w:color w:val="2F3F9E"/>
                <w:sz w:val="17"/>
              </w:rPr>
              <w:t>Gefordert?</w:t>
            </w:r>
          </w:p>
          <w:p>
            <w:r>
              <w:rPr>
                <w:b w:val="0"/>
                <w:i/>
                <w:color w:val="646B82"/>
                <w:sz w:val="15"/>
              </w:rPr>
              <w:t>Auftraggeber</w:t>
            </w:r>
          </w:p>
        </w:tc>
        <w:tc>
          <w:tcPr>
            <w:tcW w:type="dxa" w:w="794"/>
            <w:shd w:val="clear" w:fill="EEF0FB"/>
          </w:tcPr>
          <w:p>
            <w:r>
              <w:rPr>
                <w:b/>
                <w:i w:val="0"/>
                <w:color w:val="2F3F9E"/>
                <w:sz w:val="17"/>
              </w:rPr>
              <w:t>E / G / N</w:t>
            </w:r>
          </w:p>
          <w:p>
            <w:r>
              <w:rPr>
                <w:b w:val="0"/>
                <w:i/>
                <w:color w:val="646B82"/>
                <w:sz w:val="15"/>
              </w:rPr>
              <w:t>Bieter</w:t>
            </w:r>
          </w:p>
        </w:tc>
        <w:tc>
          <w:tcPr>
            <w:tcW w:type="dxa" w:w="2154"/>
            <w:shd w:val="clear" w:fill="EEF0FB"/>
          </w:tcPr>
          <w:p>
            <w:r>
              <w:rPr>
                <w:b/>
                <w:i w:val="0"/>
                <w:color w:val="2F3F9E"/>
                <w:sz w:val="17"/>
              </w:rPr>
              <w:t>Nachweis: Wie und wo</w:t>
            </w:r>
          </w:p>
          <w:p>
            <w:r>
              <w:rPr>
                <w:b w:val="0"/>
                <w:i/>
                <w:color w:val="646B82"/>
                <w:sz w:val="15"/>
              </w:rPr>
              <w:t>Bieter</w:t>
            </w:r>
          </w:p>
        </w:tc>
        <w:tc>
          <w:tcPr>
            <w:tcW w:type="dxa" w:w="794"/>
            <w:shd w:val="clear" w:fill="EEF0FB"/>
          </w:tcPr>
          <w:p>
            <w:r>
              <w:rPr>
                <w:b/>
                <w:i w:val="0"/>
                <w:color w:val="2F3F9E"/>
                <w:sz w:val="17"/>
              </w:rPr>
              <w:t>Geprüft</w:t>
            </w:r>
          </w:p>
          <w:p>
            <w:r>
              <w:rPr>
                <w:b w:val="0"/>
                <w:i/>
                <w:color w:val="646B82"/>
                <w:sz w:val="15"/>
              </w:rPr>
              <w:t>Gremium</w:t>
            </w:r>
          </w:p>
        </w:tc>
      </w:tr>
      <w:tr>
        <w:tc>
          <w:tcPr>
            <w:tcW w:type="dxa" w:w="9975"/>
            <w:gridSpan w:val="7"/>
            <w:shd w:val="clear" w:fill="2F3F9E"/>
          </w:tcPr>
          <w:p>
            <w:r>
              <w:rPr>
                <w:b/>
                <w:i w:val="0"/>
                <w:color w:val="FFFFFF"/>
                <w:sz w:val="17"/>
              </w:rPr>
              <w:t>MIM0 · Können wir unsere Daten exportieren?</w:t>
            </w:r>
          </w:p>
        </w:tc>
      </w:tr>
      <w:tr>
        <w:tc>
          <w:tcPr>
            <w:tcW w:type="dxa" w:w="567"/>
          </w:tcPr>
          <w:p>
            <w:r>
              <w:rPr>
                <w:b w:val="0"/>
                <w:i w:val="0"/>
                <w:sz w:val="17"/>
              </w:rPr>
              <w:t>0.1</w:t>
            </w:r>
          </w:p>
        </w:tc>
        <w:tc>
          <w:tcPr>
            <w:tcW w:type="dxa" w:w="2608"/>
          </w:tcPr>
          <w:p>
            <w:r>
              <w:rPr>
                <w:b w:val="0"/>
                <w:i w:val="0"/>
                <w:sz w:val="17"/>
              </w:rPr>
              <w:t>Maschinenlesbare Daten via Standard-Web-API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Offene API-Beschreibung (OpenAPI) unter stabiler Adresse</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Filtern nach Zeit, Ort und Attributen</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Abonnement von Änderungen bei Bedarf</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Standard-HTTP-Fehler, Caching, Ratenbegrenzungen</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Besitzt jedes Objekt eine dauerhafte Kennung?</w:t>
            </w:r>
          </w:p>
        </w:tc>
      </w:tr>
      <w:tr>
        <w:tc>
          <w:tcPr>
            <w:tcW w:type="dxa" w:w="567"/>
          </w:tcPr>
          <w:p>
            <w:r>
              <w:rPr>
                <w:b w:val="0"/>
                <w:i w:val="0"/>
                <w:sz w:val="17"/>
              </w:rPr>
              <w:t>1.1</w:t>
            </w:r>
          </w:p>
        </w:tc>
        <w:tc>
          <w:tcPr>
            <w:tcW w:type="dxa" w:w="2608"/>
          </w:tcPr>
          <w:p>
            <w:r>
              <w:rPr>
                <w:b w:val="0"/>
                <w:i w:val="0"/>
                <w:sz w:val="17"/>
              </w:rPr>
              <w:t>Eindeutiger persistenter Identifikator pro Entität</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Identifikator-Abfrage liefert Daten und Typ</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Systemübergreifende Zuordnung von Identifikatoren</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Keine anbieterspezifischen Interna in Identifikatoren</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Sprechen wir eine gemeinsame Sprache?</w:t>
            </w:r>
          </w:p>
        </w:tc>
      </w:tr>
      <w:tr>
        <w:tc>
          <w:tcPr>
            <w:tcW w:type="dxa" w:w="567"/>
          </w:tcPr>
          <w:p>
            <w:r>
              <w:rPr>
                <w:b w:val="0"/>
                <w:i w:val="0"/>
                <w:sz w:val="17"/>
              </w:rPr>
              <w:t>2.1</w:t>
            </w:r>
          </w:p>
        </w:tc>
        <w:tc>
          <w:tcPr>
            <w:tcW w:type="dxa" w:w="2608"/>
          </w:tcPr>
          <w:p>
            <w:r>
              <w:rPr>
                <w:b w:val="0"/>
                <w:i w:val="0"/>
                <w:sz w:val="17"/>
              </w:rPr>
              <w:t>Standard-Datenmodelle wo immer möglich</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Modelle dokumentiert, Einheiten explizit angegeben</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Erweiterungen als Profile, niemals als Forks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Offene, schemavalidierbare Serialisierung</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Können wir zu klaren Bedingungen teilen?</w:t>
            </w:r>
          </w:p>
        </w:tc>
      </w:tr>
      <w:tr>
        <w:tc>
          <w:tcPr>
            <w:tcW w:type="dxa" w:w="567"/>
          </w:tcPr>
          <w:p>
            <w:r>
              <w:rPr>
                <w:b w:val="0"/>
                <w:i w:val="0"/>
                <w:sz w:val="17"/>
              </w:rPr>
              <w:t>3.1</w:t>
            </w:r>
          </w:p>
        </w:tc>
        <w:tc>
          <w:tcPr>
            <w:tcW w:type="dxa" w:w="2608"/>
          </w:tcPr>
          <w:p>
            <w:r>
              <w:rPr>
                <w:b w:val="0"/>
                <w:i w:val="0"/>
                <w:sz w:val="17"/>
              </w:rPr>
              <w:t>Datensätze mit Standard-Metadaten katalogisiert</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Musterlizenzen und standardisierte Vereinbarungen</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Stadt bestimmt die Nutzungsbedingungen selbst</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Sind unsere Daten geschützt?</w:t>
            </w:r>
          </w:p>
        </w:tc>
      </w:tr>
      <w:tr>
        <w:tc>
          <w:tcPr>
            <w:tcW w:type="dxa" w:w="567"/>
          </w:tcPr>
          <w:p>
            <w:r>
              <w:rPr>
                <w:b w:val="0"/>
                <w:i w:val="0"/>
                <w:sz w:val="17"/>
              </w:rPr>
              <w:t>6.1</w:t>
            </w:r>
          </w:p>
        </w:tc>
        <w:tc>
          <w:tcPr>
            <w:tcW w:type="dxa" w:w="2608"/>
          </w:tcPr>
          <w:p>
            <w:r>
              <w:rPr>
                <w:b w:val="0"/>
                <w:i w:val="0"/>
                <w:sz w:val="17"/>
              </w:rPr>
              <w:t>Verschlüsselte Übertragung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Standard-Anmeldung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Rollenbasierter Zugriff und Audit-Protokolle</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Ausrichtung an ISO/IEC 27001:2022 nachgewiesen</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Funktioniert es auf einer Karte?</w:t>
            </w:r>
          </w:p>
        </w:tc>
      </w:tr>
      <w:tr>
        <w:tc>
          <w:tcPr>
            <w:tcW w:type="dxa" w:w="567"/>
          </w:tcPr>
          <w:p>
            <w:r>
              <w:rPr>
                <w:b w:val="0"/>
                <w:i w:val="0"/>
                <w:sz w:val="17"/>
              </w:rPr>
              <w:t>7.1</w:t>
            </w:r>
          </w:p>
        </w:tc>
        <w:tc>
          <w:tcPr>
            <w:tcW w:type="dxa" w:w="2608"/>
          </w:tcPr>
          <w:p>
            <w:r>
              <w:rPr>
                <w:b w:val="0"/>
                <w:i w:val="0"/>
                <w:sz w:val="17"/>
              </w:rPr>
              <w:t>OGC-Standardschnittstellen</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Offene Geoformate</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Koordinatenreferenzsystem deklariert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Persistente IDs für Geo-Objekte (siehe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Kann unser digitaler Zwilling wachsen?</w:t>
            </w:r>
          </w:p>
        </w:tc>
      </w:tr>
      <w:tr>
        <w:tc>
          <w:tcPr>
            <w:tcW w:type="dxa" w:w="567"/>
          </w:tcPr>
          <w:p>
            <w:r>
              <w:rPr>
                <w:b w:val="0"/>
                <w:i w:val="0"/>
                <w:sz w:val="17"/>
              </w:rPr>
              <w:t>8.1</w:t>
            </w:r>
          </w:p>
        </w:tc>
        <w:tc>
          <w:tcPr>
            <w:tcW w:type="dxa" w:w="2608"/>
          </w:tcPr>
          <w:p>
            <w:r>
              <w:rPr>
                <w:b w:val="0"/>
                <w:i w:val="0"/>
                <w:sz w:val="17"/>
              </w:rPr>
              <w:t>Zwilling-Daten und Ergebnisse über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Modelle dokumentiert und aufrufbar</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Standardisierte Ausgabeformate</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Workflow-Herkunft lückenlos dokumentiert</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Querschnittliche Vertragsklauseln   Der Bieter bestätigt die Annahme der Vertragsbedingung (E / N).</w:t>
            </w:r>
          </w:p>
        </w:tc>
      </w:tr>
      <w:tr>
        <w:tc>
          <w:tcPr>
            <w:tcW w:type="dxa" w:w="567"/>
          </w:tcPr>
          <w:p>
            <w:r>
              <w:rPr>
                <w:b w:val="0"/>
                <w:i w:val="0"/>
                <w:sz w:val="17"/>
              </w:rPr>
              <w:t>X.1</w:t>
            </w:r>
          </w:p>
        </w:tc>
        <w:tc>
          <w:tcPr>
            <w:tcW w:type="dxa" w:w="2608"/>
          </w:tcPr>
          <w:p>
            <w:r>
              <w:rPr>
                <w:b w:val="0"/>
                <w:i w:val="0"/>
                <w:sz w:val="17"/>
              </w:rPr>
              <w:t>Exit-Klausel: Kostenfreie Übergabe in offenen Formaten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Rechte an den Daten stehen dem Auftraggeber zu</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Keine Gebühren für Zugriff auf eigene Daten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API-Stabilität: versioniert, 6 Monate Vorlauf bei inkompatiblen Änderungen</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Die nachstehenden Kurzbezeichnungen stehen für die vollständigen Kriterien auf den MIM-Seiten – im Zweifelsfall gilt der vollständige Wortlaut.</w:t>
      </w:r>
    </w:p>
    <w:p>
      <w:pPr>
        <w:spacing w:before="40" w:after="80"/>
      </w:pPr>
      <w:r>
        <w:rPr>
          <w:b w:val="0"/>
          <w:i w:val="0"/>
          <w:color w:val="646B82"/>
          <w:sz w:val="17"/>
        </w:rPr>
        <w:t>Eine editierbare Fassung der Tabelle ist abrufbar unter: https://www.joinedcontext.com/mims/</w:t>
      </w:r>
    </w:p>
    <w:p>
      <w:r>
        <w:br w:type="page"/>
      </w:r>
    </w:p>
    <w:p>
      <w:pPr>
        <w:spacing w:before="120" w:after="160"/>
      </w:pPr>
      <w:r>
        <w:rPr>
          <w:b/>
          <w:i w:val="0"/>
          <w:color w:val="2F3F9E"/>
          <w:sz w:val="36"/>
        </w:rPr>
        <w:t>Kleines Glossar</w:t>
      </w:r>
    </w:p>
    <w:p>
      <w:pPr>
        <w:spacing w:before="40" w:after="120"/>
      </w:pPr>
      <w:r>
        <w:rPr>
          <w:b/>
          <w:i w:val="0"/>
          <w:color w:val="2F3F9E"/>
          <w:sz w:val="20"/>
        </w:rPr>
        <w:t xml:space="preserve">API  —  </w:t>
      </w:r>
      <w:r>
        <w:rPr>
          <w:b w:val="0"/>
          <w:i w:val="0"/>
          <w:sz w:val="20"/>
        </w:rPr>
        <w:t>Eine Schnittstelle, über die ein Programm ein anderes automatisiert nach Daten abfragt – über das Web, ohne manuelle Klicks.</w:t>
      </w:r>
    </w:p>
    <w:p>
      <w:pPr>
        <w:spacing w:before="40" w:after="120"/>
      </w:pPr>
      <w:r>
        <w:rPr>
          <w:b/>
          <w:i w:val="0"/>
          <w:color w:val="2F3F9E"/>
          <w:sz w:val="20"/>
        </w:rPr>
        <w:t xml:space="preserve">Datenmodell  —  </w:t>
      </w:r>
      <w:r>
        <w:rPr>
          <w:b w:val="0"/>
          <w:i w:val="0"/>
          <w:sz w:val="20"/>
        </w:rPr>
        <w:t>Die vereinbarte Struktur der Daten: welche Felder existieren, was sie bedeuten und welche Maßeinheiten gelten.</w:t>
      </w:r>
    </w:p>
    <w:p>
      <w:pPr>
        <w:spacing w:before="40" w:after="120"/>
      </w:pPr>
      <w:r>
        <w:rPr>
          <w:b/>
          <w:i w:val="0"/>
          <w:color w:val="2F3F9E"/>
          <w:sz w:val="20"/>
        </w:rPr>
        <w:t xml:space="preserve">DCAT-AP  —  </w:t>
      </w:r>
      <w:r>
        <w:rPr>
          <w:b w:val="0"/>
          <w:i w:val="0"/>
          <w:sz w:val="20"/>
        </w:rPr>
        <w:t>Europäisches Metadatenprofil für Datenkataloge; ermöglicht das Auffinden von Datensätzen auch auf nationalen und europäischen Portalen.</w:t>
      </w:r>
    </w:p>
    <w:p>
      <w:pPr>
        <w:spacing w:before="40" w:after="120"/>
      </w:pPr>
      <w:r>
        <w:rPr>
          <w:b/>
          <w:i w:val="0"/>
          <w:color w:val="2F3F9E"/>
          <w:sz w:val="20"/>
        </w:rPr>
        <w:t xml:space="preserve">EPSG  —  </w:t>
      </w:r>
      <w:r>
        <w:rPr>
          <w:b w:val="0"/>
          <w:i w:val="0"/>
          <w:sz w:val="20"/>
        </w:rPr>
        <w:t>Register numerischer Codes für Koordinatenreferenzsysteme (z. B. EPSG:4326 für WGS 84).</w:t>
      </w:r>
    </w:p>
    <w:p>
      <w:pPr>
        <w:spacing w:before="40" w:after="120"/>
      </w:pPr>
      <w:r>
        <w:rPr>
          <w:b/>
          <w:i w:val="0"/>
          <w:color w:val="2F3F9E"/>
          <w:sz w:val="20"/>
        </w:rPr>
        <w:t xml:space="preserve">Identifikator  —  </w:t>
      </w:r>
      <w:r>
        <w:rPr>
          <w:b w:val="0"/>
          <w:i w:val="0"/>
          <w:sz w:val="20"/>
        </w:rPr>
        <w:t>Ein dauerhafter Bezeichner für ein konkretes Objekt (eine Leuchte, ein Gebäude), den alle Systeme einheitlich verwenden.</w:t>
      </w:r>
    </w:p>
    <w:p>
      <w:pPr>
        <w:spacing w:before="40" w:after="120"/>
      </w:pPr>
      <w:r>
        <w:rPr>
          <w:b/>
          <w:i w:val="0"/>
          <w:color w:val="2F3F9E"/>
          <w:sz w:val="20"/>
        </w:rPr>
        <w:t xml:space="preserve">Interoperabilität  —  </w:t>
      </w:r>
      <w:r>
        <w:rPr>
          <w:b w:val="0"/>
          <w:i w:val="0"/>
          <w:sz w:val="20"/>
        </w:rPr>
        <w:t>Die Fähigkeit von Systemen verschiedener Hersteller, Daten auszutauschen und semantisch korrekt zu verarbeiten.</w:t>
      </w:r>
    </w:p>
    <w:p>
      <w:pPr>
        <w:spacing w:before="40" w:after="120"/>
      </w:pPr>
      <w:r>
        <w:rPr>
          <w:b/>
          <w:i w:val="0"/>
          <w:color w:val="2F3F9E"/>
          <w:sz w:val="20"/>
        </w:rPr>
        <w:t xml:space="preserve">IRI  —  </w:t>
      </w:r>
      <w:r>
        <w:rPr>
          <w:b w:val="0"/>
          <w:i w:val="0"/>
          <w:sz w:val="20"/>
        </w:rPr>
        <w:t>Internationale Form eines Web-Identifikators (wie eine URL, jedoch mit Sonderzeichen). MIM1 benennt Entitäten damit.</w:t>
      </w:r>
    </w:p>
    <w:p>
      <w:pPr>
        <w:spacing w:before="40" w:after="120"/>
      </w:pPr>
      <w:r>
        <w:rPr>
          <w:b/>
          <w:i w:val="0"/>
          <w:color w:val="2F3F9E"/>
          <w:sz w:val="20"/>
        </w:rPr>
        <w:t xml:space="preserve">LDT  —  </w:t>
      </w:r>
      <w:r>
        <w:rPr>
          <w:b w:val="0"/>
          <w:i w:val="0"/>
          <w:sz w:val="20"/>
        </w:rPr>
        <w:t>Lokaler digitaler Zwilling (Local Digital Twin): Ein digitales Abbild einer Stadt oder eines Teils davon, verknüpft mit Daten und Simulationen.</w:t>
      </w:r>
    </w:p>
    <w:p>
      <w:pPr>
        <w:spacing w:before="40" w:after="120"/>
      </w:pPr>
      <w:r>
        <w:rPr>
          <w:b/>
          <w:i w:val="0"/>
          <w:color w:val="2F3F9E"/>
          <w:sz w:val="20"/>
        </w:rPr>
        <w:t xml:space="preserve">Maschinenlesbar  —  </w:t>
      </w:r>
      <w:r>
        <w:rPr>
          <w:b w:val="0"/>
          <w:i w:val="0"/>
          <w:sz w:val="20"/>
        </w:rPr>
        <w:t>So strukturiert, dass ein Programm die Daten direkt verarbeiten kann (JSON, CSV) – ein PDF einer Tabelle ist dies nicht.</w:t>
      </w:r>
    </w:p>
    <w:p>
      <w:pPr>
        <w:spacing w:before="40" w:after="120"/>
      </w:pPr>
      <w:r>
        <w:rPr>
          <w:b/>
          <w:i w:val="0"/>
          <w:color w:val="2F3F9E"/>
          <w:sz w:val="20"/>
        </w:rPr>
        <w:t xml:space="preserve">Metadaten  —  </w:t>
      </w:r>
      <w:r>
        <w:rPr>
          <w:b w:val="0"/>
          <w:i w:val="0"/>
          <w:sz w:val="20"/>
        </w:rPr>
        <w:t>Daten über Daten: was ein Datensatz enthält, wer ihn bereitstellt, wie aktuell er ist und unter welcher Lizenz er steht.</w:t>
      </w:r>
    </w:p>
    <w:p>
      <w:pPr>
        <w:spacing w:before="40" w:after="120"/>
      </w:pPr>
      <w:r>
        <w:rPr>
          <w:b/>
          <w:i w:val="0"/>
          <w:color w:val="2F3F9E"/>
          <w:sz w:val="20"/>
        </w:rPr>
        <w:t xml:space="preserve">OAuth 2.0 / OIDC  —  </w:t>
      </w:r>
      <w:r>
        <w:rPr>
          <w:b w:val="0"/>
          <w:i w:val="0"/>
          <w:sz w:val="20"/>
        </w:rPr>
        <w:t>Offene Standards für Anmeldung und Autorisierung. OpenID Connect (OIDC) ergänzt OAuth 2.0 um die Identitätsprüfung.</w:t>
      </w:r>
    </w:p>
    <w:p>
      <w:pPr>
        <w:spacing w:before="40" w:after="120"/>
      </w:pPr>
      <w:r>
        <w:rPr>
          <w:b/>
          <w:i w:val="0"/>
          <w:color w:val="2F3F9E"/>
          <w:sz w:val="20"/>
        </w:rPr>
        <w:t xml:space="preserve">OGC  —  </w:t>
      </w:r>
      <w:r>
        <w:rPr>
          <w:b w:val="0"/>
          <w:i w:val="0"/>
          <w:sz w:val="20"/>
        </w:rPr>
        <w:t>Open Geospatial Consortium: Die Organisation, die Standards für Geodaten und Geodienste festlegt (OGC API, WFS, SensorThings).</w:t>
      </w:r>
    </w:p>
    <w:p>
      <w:pPr>
        <w:spacing w:before="40" w:after="120"/>
      </w:pPr>
      <w:r>
        <w:rPr>
          <w:b/>
          <w:i w:val="0"/>
          <w:color w:val="2F3F9E"/>
          <w:sz w:val="20"/>
        </w:rPr>
        <w:t xml:space="preserve">Offener Standard  —  </w:t>
      </w:r>
      <w:r>
        <w:rPr>
          <w:b w:val="0"/>
          <w:i w:val="0"/>
          <w:sz w:val="20"/>
        </w:rPr>
        <w:t>Eine technische Regel, die jedermann kostenlos und ohne besondere Genehmigung einsehen und umsetzen darf.</w:t>
      </w:r>
    </w:p>
    <w:p>
      <w:pPr>
        <w:spacing w:before="40" w:after="120"/>
      </w:pPr>
      <w:r>
        <w:rPr>
          <w:b/>
          <w:i w:val="0"/>
          <w:color w:val="2F3F9E"/>
          <w:sz w:val="20"/>
        </w:rPr>
        <w:t xml:space="preserve">OpenAPI  —  </w:t>
      </w:r>
      <w:r>
        <w:rPr>
          <w:b w:val="0"/>
          <w:i w:val="0"/>
          <w:sz w:val="20"/>
        </w:rPr>
        <w:t>Offenes Format für eine maschinenlesbare Schnittstellenbeschreibung einer Web-API: Adressen, Parameter und Antwortformate.</w:t>
      </w:r>
    </w:p>
    <w:p>
      <w:pPr>
        <w:spacing w:before="40" w:after="120"/>
      </w:pPr>
      <w:r>
        <w:rPr>
          <w:b/>
          <w:i w:val="0"/>
          <w:color w:val="2F3F9E"/>
          <w:sz w:val="20"/>
        </w:rPr>
        <w:t xml:space="preserve">Serialisierung  —  </w:t>
      </w:r>
      <w:r>
        <w:rPr>
          <w:b w:val="0"/>
          <w:i w:val="0"/>
          <w:sz w:val="20"/>
        </w:rPr>
        <w:t>Das Übertragen von Daten in ein konkretes Format (z. B. JSON, XML), damit sie gespeichert oder übermittelt werden können.</w:t>
      </w:r>
    </w:p>
    <w:p>
      <w:pPr>
        <w:spacing w:before="40" w:after="120"/>
      </w:pPr>
      <w:r>
        <w:rPr>
          <w:b/>
          <w:i w:val="0"/>
          <w:color w:val="2F3F9E"/>
          <w:sz w:val="20"/>
        </w:rPr>
        <w:t xml:space="preserve">TLS  —  </w:t>
      </w:r>
      <w:r>
        <w:rPr>
          <w:b w:val="0"/>
          <w:i w:val="0"/>
          <w:sz w:val="20"/>
        </w:rPr>
        <w:t>Das Protokoll zur Verschlüsselung von Daten bei der Netzwerkübertragung (die technische Grundlage von HTTPS).</w:t>
      </w:r>
    </w:p>
    <w:p>
      <w:pPr>
        <w:spacing w:before="40" w:after="120"/>
      </w:pPr>
      <w:r>
        <w:rPr>
          <w:b/>
          <w:i w:val="0"/>
          <w:color w:val="2F3F9E"/>
          <w:sz w:val="20"/>
        </w:rPr>
        <w:t xml:space="preserve">Vendor Lock-in  —  </w:t>
      </w:r>
      <w:r>
        <w:rPr>
          <w:b w:val="0"/>
          <w:i w:val="0"/>
          <w:sz w:val="20"/>
        </w:rPr>
        <w:t>Ein Zustand, in dem die Kosten für Daten, Formate oder Gebühren einen Anbieterwechsel praktisch unmöglich machen.</w:t>
      </w:r>
    </w:p>
    <w:p>
      <w:pPr>
        <w:spacing w:before="40" w:after="120"/>
      </w:pPr>
      <w:r>
        <w:rPr>
          <w:b/>
          <w:i w:val="0"/>
          <w:color w:val="2F3F9E"/>
          <w:sz w:val="20"/>
        </w:rPr>
        <w:t xml:space="preserve">Webhook / MQTT  —  </w:t>
      </w:r>
      <w:r>
        <w:rPr>
          <w:b w:val="0"/>
          <w:i w:val="0"/>
          <w:sz w:val="20"/>
        </w:rPr>
        <w:t>Zwei Wege zur ereignisgesteuerten Datenübermittlung: Ein Webhook ruft eine Ziel-URL auf, MQTT verteilt Nachrichten an Abonnenten.</w:t>
      </w:r>
    </w:p>
    <w:p>
      <w:pPr>
        <w:spacing w:before="240" w:after="120"/>
      </w:pPr>
      <w:r>
        <w:rPr>
          <w:b/>
          <w:i w:val="0"/>
          <w:color w:val="0B7485"/>
          <w:sz w:val="24"/>
        </w:rPr>
        <w:t>Weiterführende Informationen</w:t>
      </w:r>
    </w:p>
    <w:p>
      <w:pPr>
        <w:spacing w:before="40" w:after="100"/>
      </w:pPr>
      <w:hyperlink r:id="rId20">
        <w:r>
          <w:rPr>
            <w:color w:val="2F3F9E"/>
            <w:u w:val="single"/>
            <w:sz w:val="20"/>
          </w:rPr>
          <w:t>mims.oascities.org</w:t>
        </w:r>
      </w:hyperlink>
      <w:r>
        <w:rPr>
          <w:b w:val="0"/>
          <w:i w:val="0"/>
          <w:sz w:val="20"/>
        </w:rPr>
        <w:t xml:space="preserve">  —  Die vollständige Spezifikation MIMs Plus, herausgegeben von OASC.</w:t>
      </w:r>
    </w:p>
    <w:p>
      <w:pPr>
        <w:spacing w:before="40" w:after="100"/>
      </w:pPr>
      <w:hyperlink r:id="rId21">
        <w:r>
          <w:rPr>
            <w:color w:val="2F3F9E"/>
            <w:u w:val="single"/>
            <w:sz w:val="20"/>
          </w:rPr>
          <w:t>living-in.eu</w:t>
        </w:r>
      </w:hyperlink>
      <w:r>
        <w:rPr>
          <w:b w:val="0"/>
          <w:i w:val="0"/>
          <w:sz w:val="20"/>
        </w:rPr>
        <w:t xml:space="preserve">  —  Die europäische Bewegung für den digitalen Wandel der Kommunen – Erklärung und Kontext zu MIMs Plus.</w:t>
      </w:r>
    </w:p>
    <w:p>
      <w:pPr>
        <w:spacing w:before="40" w:after="100"/>
      </w:pPr>
      <w:hyperlink r:id="rId22">
        <w:r>
          <w:rPr>
            <w:color w:val="2F3F9E"/>
            <w:u w:val="single"/>
            <w:sz w:val="20"/>
          </w:rPr>
          <w:t>smartdatamodels.org</w:t>
        </w:r>
      </w:hyperlink>
      <w:r>
        <w:rPr>
          <w:b w:val="0"/>
          <w:i w:val="0"/>
          <w:sz w:val="20"/>
        </w:rPr>
        <w:t xml:space="preserve">  —  Die offene Bibliothek für Standard-Datenmodelle (FIWARE, TM Forum, IUDX, OASC).</w:t>
      </w:r>
    </w:p>
    <w:p>
      <w:pPr>
        <w:spacing w:before="40" w:after="100"/>
      </w:pPr>
      <w:hyperlink r:id="rId23">
        <w:r>
          <w:rPr>
            <w:color w:val="2F3F9E"/>
            <w:u w:val="single"/>
            <w:sz w:val="20"/>
          </w:rPr>
          <w:t>oascities.org/academy</w:t>
        </w:r>
      </w:hyperlink>
      <w:r>
        <w:rPr>
          <w:b w:val="0"/>
          <w:i w:val="0"/>
          <w:sz w:val="20"/>
        </w:rPr>
        <w:t xml:space="preserve">  —  CITYxCITY Academy – Kurse für kommunales Personal, von Städten.</w:t>
      </w:r>
    </w:p>
    <w:p>
      <w:r>
        <w:br w:type="page"/>
      </w:r>
    </w:p>
    <w:p>
      <w:pPr>
        <w:spacing w:before="480" w:after="80"/>
        <w:jc w:val="center"/>
      </w:pPr>
      <w:r>
        <w:rPr>
          <w:b w:val="0"/>
          <w:i w:val="0"/>
          <w:color w:val="646B82"/>
          <w:sz w:val="18"/>
        </w:rPr>
        <w:t>Zusammengestellt auf Grundlage der Spezifikation MIMs Plus 9.0 von Open &amp; Agile Smart Cities (mims.oascities.org). Spezifikationsinhalte © OASC. Dieser Leitfaden ist eine unabhängige Handreichung in verständlicher Sprache für das kommunale Beschaffungswesen; im Zweifelsfall ist die Spezifikation maßgeblich.</w:t>
      </w:r>
    </w:p>
    <w:p>
      <w:pPr>
        <w:spacing w:before="40" w:after="80"/>
        <w:jc w:val="center"/>
      </w:pPr>
      <w:r>
        <w:rPr>
          <w:b w:val="0"/>
          <w:i w:val="0"/>
          <w:color w:val="0B7485"/>
          <w:sz w:val="18"/>
        </w:rPr>
        <w:t>Erstellt mit offenen Werkzeugen. Zur freien Nutzung und Anpassung für Ihre Kommune.</w:t>
      </w:r>
    </w:p>
    <w:p>
      <w:pPr>
        <w:spacing w:before="40" w:after="80"/>
        <w:jc w:val="center"/>
      </w:pPr>
      <w:r>
        <w:rPr>
          <w:b w:val="0"/>
          <w:i w:val="0"/>
          <w:color w:val="646B82"/>
          <w:sz w:val="17"/>
        </w:rPr>
        <w:t>Autor des Leitfadens: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