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Minimální mechanismy interoperability (MIMs)</w:t>
      </w:r>
    </w:p>
    <w:p>
      <w:pPr>
        <w:spacing w:before="40" w:after="320"/>
        <w:jc w:val="center"/>
      </w:pPr>
      <w:r>
        <w:rPr>
          <w:b/>
          <w:i w:val="0"/>
          <w:color w:val="0B7485"/>
          <w:sz w:val="30"/>
        </w:rPr>
        <w:t>Co uvést v zadávací dokumentaci, aby data zůstala pod kontrolou města</w:t>
      </w:r>
    </w:p>
    <w:p>
      <w:pPr>
        <w:spacing w:before="40" w:after="120"/>
        <w:jc w:val="center"/>
      </w:pPr>
      <w:r>
        <w:rPr>
          <w:b w:val="0"/>
          <w:i w:val="0"/>
          <w:color w:val="646B82"/>
          <w:sz w:val="22"/>
        </w:rPr>
        <w:t>Specifikace: MIMs Plus 9.0 sítě OASC</w:t>
      </w:r>
    </w:p>
    <w:p>
      <w:pPr>
        <w:spacing w:before="40" w:after="80"/>
        <w:jc w:val="center"/>
      </w:pPr>
      <w:r>
        <w:rPr>
          <w:b w:val="0"/>
          <w:i w:val="0"/>
          <w:color w:val="646B82"/>
          <w:sz w:val="18"/>
        </w:rPr>
        <w:t>Pro referenty veřejných zakázek, projektové manažery a vedoucí IT samospráv</w:t>
      </w:r>
    </w:p>
    <w:p>
      <w:pPr>
        <w:spacing w:before="40" w:after="80"/>
        <w:jc w:val="center"/>
      </w:pPr>
      <w:r>
        <w:rPr>
          <w:b w:val="0"/>
          <w:i w:val="0"/>
          <w:color w:val="646B82"/>
          <w:sz w:val="17"/>
        </w:rPr>
        <w:t>Autor brožury: Marek Mráz</w:t>
      </w:r>
    </w:p>
    <w:p>
      <w:r>
        <w:br w:type="page"/>
      </w:r>
    </w:p>
    <w:p>
      <w:pPr>
        <w:spacing w:before="120" w:after="160"/>
      </w:pPr>
      <w:r>
        <w:rPr>
          <w:b/>
          <w:i w:val="0"/>
          <w:color w:val="2F3F9E"/>
          <w:sz w:val="36"/>
        </w:rPr>
        <w:t>Účel brožury</w:t>
      </w:r>
    </w:p>
    <w:p>
      <w:pPr>
        <w:spacing w:before="40" w:after="160"/>
      </w:pPr>
      <w:r>
        <w:rPr>
          <w:b w:val="0"/>
          <w:i w:val="0"/>
          <w:sz w:val="21"/>
        </w:rPr>
        <w:t>Města každý rok nakupují software: parkovací systémy, senzorové platformy, mapové portály, digitální dvojčata. Data, která tyto systémy sbírají, v nich často zůstanou zamčená. Smlouva skončí a data zaplacená z veřejných peněz odejdou s dodavatelem nebo zůstanou ve formátu, který nikdo jiný nepřečte.</w:t>
      </w:r>
    </w:p>
    <w:p>
      <w:pPr>
        <w:spacing w:before="40" w:after="160"/>
      </w:pPr>
      <w:r>
        <w:rPr>
          <w:b w:val="0"/>
          <w:i w:val="0"/>
          <w:sz w:val="21"/>
        </w:rPr>
        <w:t>Nemusí to tak být. Minimální mechanismy interoperability (MIMs) spravuje síť Open &amp; Agile Smart Cities (OASC) a podporuje je evropská iniciativa living-in.eu. Popisují minimální technické požadavky, díky nimž vaše data zůstanou otevřená, opakovaně použitelná a nezávislá na dodavateli. Jsou záměrně malé: nejde o rozsáhlou architekturu, jen o několik podmínek, které musí platit, aby si systémy vyměňovaly data.</w:t>
      </w:r>
    </w:p>
    <w:p>
      <w:pPr>
        <w:spacing w:before="40" w:after="160"/>
      </w:pPr>
      <w:r>
        <w:rPr>
          <w:b w:val="0"/>
          <w:i w:val="0"/>
          <w:sz w:val="21"/>
        </w:rPr>
        <w:t>K použití brožury nejsou potřeba technické znalosti. Každý kontrolní seznam mění jeden MIM na srozumitelné požadavky, které zkopírujete přímo do zadávací dokumentace, i s důvodem, proč vás chrání. Hned za seznamem najdete přesné znění všech požadavků specifikace, aby si detaily ověřili vaši technici i dodavatelé.</w:t>
      </w:r>
    </w:p>
    <w:p>
      <w:pPr>
        <w:spacing w:before="40" w:after="160"/>
      </w:pPr>
      <w:r>
        <w:rPr>
          <w:b w:val="0"/>
          <w:i w:val="0"/>
          <w:sz w:val="21"/>
        </w:rPr>
        <w:t>Města, která MIMs vyžadují, pořídí jednou a používají mnohokrát: data o kvalitě ovzduší napájejí školní přehled, evidence veřejného osvětlení slouží jako podklad pro energetický plán a další dodavatel naváže tam, kde předchozí skončil. To je interoperabilita v praxi. U projektů z fondů EU se stále častěji očekává.</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“Minimální mechanismy interoperability (MIMs) umožňují minimální, ale dostatečnou úroveň interoperability dat, systémů a služeb, zejména v kontextu řešení pro chytrá města.</w:t>
              <w:br/>
              <w:t>Tento dokument je určen pro:</w:t>
              <w:br/>
              <w:t>1. Dodavatele řešení, kteří chtějí zajistit, aby jejich řešení byla interoperabilní s jinými a umožňovala plynulou výměnu dat v kontextu chytrých měst a obcí.</w:t>
              <w:br/>
              <w:t>2. Zadavatele, kteří chtějí pořizovat řešení připravená na budoucnost a nákladově efektivně integrovatelná do stávající architektury informačních a komunikačních technologií (IKT) chytrých měst a obcí.”</w:t>
            </w:r>
          </w:p>
        </w:tc>
      </w:tr>
    </w:tbl>
    <w:p>
      <w:pPr>
        <w:spacing w:before="240" w:after="60"/>
      </w:pPr>
      <w:r>
        <w:rPr>
          <w:b/>
          <w:i w:val="0"/>
          <w:color w:val="2F3F9E"/>
          <w:sz w:val="22"/>
        </w:rPr>
        <w:t>Jak MIMs zapadají do práva EU</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MIMs jsou technická specifikace, ne právní předpis. Směřují ale tam, kam pravidla EU, která už pro veřejná data a digitální služby platí:</w:t>
            </w:r>
          </w:p>
          <w:p>
            <w:pPr>
              <w:spacing w:before="20" w:after="60"/>
            </w:pPr>
            <w:r>
              <w:rPr>
                <w:b/>
                <w:i w:val="0"/>
                <w:color w:val="2F3F9E"/>
                <w:sz w:val="19"/>
              </w:rPr>
              <w:t>Směrnice o zadávání veřejných zakázek</w:t>
            </w:r>
            <w:r>
              <w:rPr>
                <w:b w:val="0"/>
                <w:i w:val="0"/>
                <w:color w:val="646B82"/>
                <w:sz w:val="17"/>
              </w:rPr>
              <w:t xml:space="preserve"> (směrnice 2014/24/EU, článek 42): </w:t>
            </w:r>
            <w:r>
              <w:rPr>
                <w:b w:val="0"/>
                <w:i w:val="0"/>
                <w:sz w:val="19"/>
              </w:rPr>
              <w:t>technické specifikace mohou odkazovat na normy, vždy s dodatkem „nebo rovnocenné“; konkrétní značku ani výrobek zpravidla jmenovat nesmí.</w:t>
            </w:r>
          </w:p>
          <w:p>
            <w:pPr>
              <w:spacing w:before="20" w:after="60"/>
            </w:pPr>
            <w:r>
              <w:rPr>
                <w:b/>
                <w:i w:val="0"/>
                <w:color w:val="2F3F9E"/>
                <w:sz w:val="19"/>
              </w:rPr>
              <w:t>Akt o datech</w:t>
            </w:r>
            <w:r>
              <w:rPr>
                <w:b w:val="0"/>
                <w:i w:val="0"/>
                <w:color w:val="646B82"/>
                <w:sz w:val="17"/>
              </w:rPr>
              <w:t xml:space="preserve"> (nařízení (EU) 2023/2854): </w:t>
            </w:r>
            <w:r>
              <w:rPr>
                <w:b w:val="0"/>
                <w:i w:val="0"/>
                <w:sz w:val="19"/>
              </w:rPr>
              <w:t>přístup k datům z připojených výrobků a změna poskytovatele cloudu bez závislosti na dodavateli.</w:t>
            </w:r>
          </w:p>
          <w:p>
            <w:pPr>
              <w:spacing w:before="20" w:after="60"/>
            </w:pPr>
            <w:r>
              <w:rPr>
                <w:b/>
                <w:i w:val="0"/>
                <w:color w:val="2F3F9E"/>
                <w:sz w:val="19"/>
              </w:rPr>
              <w:t>Akt o interoperabilní Evropě</w:t>
            </w:r>
            <w:r>
              <w:rPr>
                <w:b w:val="0"/>
                <w:i w:val="0"/>
                <w:color w:val="646B82"/>
                <w:sz w:val="17"/>
              </w:rPr>
              <w:t xml:space="preserve"> (nařízení (EU) 2024/903): </w:t>
            </w:r>
            <w:r>
              <w:rPr>
                <w:b w:val="0"/>
                <w:i w:val="0"/>
                <w:sz w:val="19"/>
              </w:rPr>
              <w:t>posuzování interoperability přeshraničních digitálních veřejných služeb a opakované použití otevřených řešení.</w:t>
            </w:r>
          </w:p>
          <w:p>
            <w:pPr>
              <w:spacing w:before="20" w:after="60"/>
            </w:pPr>
            <w:r>
              <w:rPr>
                <w:b/>
                <w:i w:val="0"/>
                <w:color w:val="2F3F9E"/>
                <w:sz w:val="19"/>
              </w:rPr>
              <w:t>Směrnice o otevřených datech</w:t>
            </w:r>
            <w:r>
              <w:rPr>
                <w:b w:val="0"/>
                <w:i w:val="0"/>
                <w:color w:val="646B82"/>
                <w:sz w:val="17"/>
              </w:rPr>
              <w:t xml:space="preserve"> (směrnice (EU) 2019/1024): </w:t>
            </w:r>
            <w:r>
              <w:rPr>
                <w:b w:val="0"/>
                <w:i w:val="0"/>
                <w:sz w:val="19"/>
              </w:rPr>
              <w:t>datové sady s vysokou hodnotou zveřejněné bezplatně, ve strojově čitelné podobě a přes API.</w:t>
            </w:r>
          </w:p>
          <w:p>
            <w:pPr>
              <w:spacing w:before="20" w:after="60"/>
            </w:pPr>
            <w:r>
              <w:rPr>
                <w:b/>
                <w:i w:val="0"/>
                <w:color w:val="2F3F9E"/>
                <w:sz w:val="19"/>
              </w:rPr>
              <w:t>Směrnice NIS2</w:t>
            </w:r>
            <w:r>
              <w:rPr>
                <w:b w:val="0"/>
                <w:i w:val="0"/>
                <w:color w:val="646B82"/>
                <w:sz w:val="17"/>
              </w:rPr>
              <w:t xml:space="preserve"> (směrnice (EU) 2022/2555): </w:t>
            </w:r>
            <w:r>
              <w:rPr>
                <w:b w:val="0"/>
                <w:i w:val="0"/>
                <w:sz w:val="19"/>
              </w:rPr>
              <w:t>základní úroveň kybernetické bezpečnosti; rozsah pro místní samosprávu určuje vnitrostátní právo.</w:t>
            </w:r>
          </w:p>
          <w:p>
            <w:pPr>
              <w:spacing w:before="20" w:after="60"/>
            </w:pPr>
            <w:r>
              <w:rPr>
                <w:b/>
                <w:i w:val="0"/>
                <w:color w:val="2F3F9E"/>
                <w:sz w:val="19"/>
              </w:rPr>
              <w:t>GDPR</w:t>
            </w:r>
            <w:r>
              <w:rPr>
                <w:b w:val="0"/>
                <w:i w:val="0"/>
                <w:color w:val="646B82"/>
                <w:sz w:val="17"/>
              </w:rPr>
              <w:t xml:space="preserve"> (nařízení (EU) 2016/679): </w:t>
            </w:r>
            <w:r>
              <w:rPr>
                <w:b w:val="0"/>
                <w:i w:val="0"/>
                <w:sz w:val="19"/>
              </w:rPr>
              <w:t>osobní údaje v městských systémech (parkování, kamery, mobilita).</w:t>
            </w:r>
          </w:p>
          <w:p>
            <w:pPr>
              <w:spacing w:before="20" w:after="60"/>
            </w:pPr>
            <w:r>
              <w:rPr>
                <w:b/>
                <w:i w:val="0"/>
                <w:color w:val="2F3F9E"/>
                <w:sz w:val="19"/>
              </w:rPr>
              <w:t>Akt o umělé inteligenci</w:t>
            </w:r>
            <w:r>
              <w:rPr>
                <w:b w:val="0"/>
                <w:i w:val="0"/>
                <w:color w:val="646B82"/>
                <w:sz w:val="17"/>
              </w:rPr>
              <w:t xml:space="preserve"> (nařízení (EU) 2024/1689): </w:t>
            </w:r>
            <w:r>
              <w:rPr>
                <w:b w:val="0"/>
                <w:i w:val="0"/>
                <w:sz w:val="19"/>
              </w:rPr>
              <w:t>pravidla pro systémy umělé inteligence; relevantní u modelů AI v digitálních dvojčatech.</w:t>
            </w:r>
          </w:p>
          <w:p>
            <w:pPr>
              <w:spacing w:before="20" w:after="60"/>
            </w:pPr>
            <w:r>
              <w:rPr>
                <w:b w:val="0"/>
                <w:i/>
                <w:color w:val="646B82"/>
                <w:sz w:val="17"/>
              </w:rPr>
              <w:t>Slouží jen pro orientaci. Ověřte si, jak jednotlivé akty převzala vaše země.</w:t>
            </w:r>
          </w:p>
        </w:tc>
      </w:tr>
    </w:tbl>
    <w:p>
      <w:r>
        <w:br w:type="page"/>
      </w:r>
    </w:p>
    <w:p>
      <w:pPr>
        <w:spacing w:before="120" w:after="160"/>
      </w:pPr>
      <w:r>
        <w:rPr>
          <w:b/>
          <w:i w:val="0"/>
          <w:color w:val="2F3F9E"/>
          <w:sz w:val="36"/>
        </w:rPr>
        <w:t>Jak brožuru používat</w:t>
      </w:r>
    </w:p>
    <w:p>
      <w:pPr>
        <w:spacing w:before="40" w:after="120"/>
      </w:pPr>
      <w:r>
        <w:rPr>
          <w:b/>
          <w:i w:val="0"/>
          <w:color w:val="2F3F9E"/>
          <w:sz w:val="22"/>
        </w:rPr>
        <w:t xml:space="preserve">1. Příprava  </w:t>
      </w:r>
      <w:r>
        <w:rPr>
          <w:b w:val="0"/>
          <w:i w:val="0"/>
          <w:sz w:val="20"/>
        </w:rPr>
        <w:t>Přečtěte si sedm kontrolních seznamů. Označte ty, které se týkají vaší zakázky. Většina zakázek potřebuje MIM0, MIM1, MIM2 a MIM6; přidejte MIM3, když se data sdílejí s třetími stranami nebo přes datový portál, MIM7 u čehokoli s mapou a MIM8 u digitálních dvojčat.</w:t>
      </w:r>
    </w:p>
    <w:p>
      <w:pPr>
        <w:spacing w:before="40" w:after="120"/>
      </w:pPr>
      <w:r>
        <w:rPr>
          <w:b/>
          <w:i w:val="0"/>
          <w:color w:val="2F3F9E"/>
          <w:sz w:val="22"/>
        </w:rPr>
        <w:t xml:space="preserve">2. Zadávací dokumentace  </w:t>
      </w:r>
      <w:r>
        <w:rPr>
          <w:b w:val="0"/>
          <w:i w:val="0"/>
          <w:sz w:val="20"/>
        </w:rPr>
        <w:t>Zkopírujte označené položky do popisu předmětu zakázky. Každá je napsaná jako věta k přímému vložení. Přidejte průřezové smluvní klauzule: stojí málo a brání závislosti na dodavateli.</w:t>
      </w:r>
    </w:p>
    <w:p>
      <w:pPr>
        <w:spacing w:before="40" w:after="120"/>
      </w:pPr>
      <w:r>
        <w:rPr>
          <w:b/>
          <w:i w:val="0"/>
          <w:color w:val="2F3F9E"/>
          <w:sz w:val="22"/>
        </w:rPr>
        <w:t xml:space="preserve">3. Hodnocení nabídek  </w:t>
      </w:r>
      <w:r>
        <w:rPr>
          <w:b w:val="0"/>
          <w:i w:val="0"/>
          <w:sz w:val="20"/>
        </w:rPr>
        <w:t>Žádejte po dodavatelích ukázat, ne slíbit (viz klauzuli s tímto názvem). Splnění ověřte podle tabulky shody, kterou dodavatel vyplnil.</w:t>
      </w:r>
    </w:p>
    <w:p>
      <w:pPr>
        <w:spacing w:before="40" w:after="120"/>
      </w:pPr>
      <w:r>
        <w:rPr>
          <w:b/>
          <w:i w:val="0"/>
          <w:color w:val="2F3F9E"/>
          <w:sz w:val="22"/>
        </w:rPr>
        <w:t xml:space="preserve">4. Převzetí plnění  </w:t>
      </w:r>
      <w:r>
        <w:rPr>
          <w:b w:val="0"/>
          <w:i w:val="0"/>
          <w:sz w:val="20"/>
        </w:rPr>
        <w:t>Při předání a převzetí znovu otestujte každou označenou položku. Požadavek, který se při převzetí netestuje, nikdy požadavkem nebyl.</w:t>
      </w:r>
    </w:p>
    <w:p>
      <w:pPr>
        <w:spacing w:before="200" w:after="80"/>
      </w:pPr>
      <w:r>
        <w:rPr>
          <w:b/>
          <w:i w:val="0"/>
          <w:color w:val="0B7485"/>
          <w:sz w:val="22"/>
        </w:rPr>
        <w:t>Jak číst citace ze specifikace</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MUSÍ (SHALL / MUST)</w:t>
            </w:r>
            <w:r>
              <w:rPr>
                <w:b w:val="0"/>
                <w:i w:val="0"/>
                <w:sz w:val="19"/>
              </w:rPr>
              <w:t xml:space="preserve">  povinné. Bez toho systém není v souladu.</w:t>
            </w:r>
          </w:p>
          <w:p>
            <w:pPr>
              <w:spacing w:before="20" w:after="60"/>
            </w:pPr>
            <w:r>
              <w:rPr>
                <w:b/>
                <w:i w:val="0"/>
                <w:color w:val="2F3F9E"/>
                <w:sz w:val="19"/>
              </w:rPr>
              <w:t xml:space="preserve">•  </w:t>
            </w:r>
            <w:r>
              <w:rPr>
                <w:b/>
                <w:i w:val="0"/>
                <w:color w:val="2F3F9E"/>
                <w:sz w:val="19"/>
                <w:highlight w:val="yellow"/>
              </w:rPr>
              <w:t>NESMÍ (MUST NOT)</w:t>
            </w:r>
            <w:r>
              <w:rPr>
                <w:b w:val="0"/>
                <w:i w:val="0"/>
                <w:sz w:val="19"/>
              </w:rPr>
              <w:t xml:space="preserve">  zakázáno. S tím systém není v souladu.</w:t>
            </w:r>
          </w:p>
          <w:p>
            <w:pPr>
              <w:spacing w:before="20" w:after="60"/>
            </w:pPr>
            <w:r>
              <w:rPr>
                <w:b/>
                <w:i w:val="0"/>
                <w:color w:val="2F3F9E"/>
                <w:sz w:val="19"/>
              </w:rPr>
              <w:t xml:space="preserve">•  </w:t>
            </w:r>
            <w:r>
              <w:rPr>
                <w:b/>
                <w:i w:val="0"/>
                <w:color w:val="2F3F9E"/>
                <w:sz w:val="19"/>
                <w:highlight w:val="yellow"/>
              </w:rPr>
              <w:t>MÁ, MAJÍ (SHOULD)</w:t>
            </w:r>
            <w:r>
              <w:rPr>
                <w:b w:val="0"/>
                <w:i w:val="0"/>
                <w:sz w:val="19"/>
              </w:rPr>
              <w:t xml:space="preserve">  důrazně doporučené. Odchylka si žádá dobrý písemný důvod.</w:t>
            </w:r>
          </w:p>
          <w:p>
            <w:pPr>
              <w:spacing w:before="20" w:after="60"/>
            </w:pPr>
            <w:r>
              <w:rPr>
                <w:b/>
                <w:i w:val="0"/>
                <w:color w:val="2F3F9E"/>
                <w:sz w:val="19"/>
              </w:rPr>
              <w:t xml:space="preserve">•  </w:t>
            </w:r>
            <w:r>
              <w:rPr>
                <w:b/>
                <w:i w:val="0"/>
                <w:color w:val="2F3F9E"/>
                <w:sz w:val="19"/>
                <w:highlight w:val="yellow"/>
              </w:rPr>
              <w:t>MŮŽE, MOHOU (MAY)</w:t>
            </w:r>
            <w:r>
              <w:rPr>
                <w:b w:val="0"/>
                <w:i w:val="0"/>
                <w:sz w:val="19"/>
              </w:rPr>
              <w:t xml:space="preserve">  volitelné. Vítané, nikdy ne podmínka.</w:t>
            </w:r>
          </w:p>
          <w:p>
            <w:pPr>
              <w:spacing w:before="20" w:after="60"/>
            </w:pPr>
            <w:r>
              <w:rPr>
                <w:b/>
                <w:i w:val="0"/>
                <w:color w:val="2F3F9E"/>
                <w:sz w:val="19"/>
              </w:rPr>
              <w:t xml:space="preserve">•  </w:t>
            </w:r>
            <w:r>
              <w:rPr>
                <w:b/>
                <w:i w:val="0"/>
                <w:color w:val="2F3F9E"/>
                <w:sz w:val="19"/>
                <w:highlight w:val="yellow"/>
              </w:rPr>
              <w:t>LZE, DÁ SE (CAN)</w:t>
            </w:r>
            <w:r>
              <w:rPr>
                <w:b w:val="0"/>
                <w:i w:val="0"/>
                <w:sz w:val="19"/>
              </w:rPr>
              <w:t xml:space="preserve">  možnost, ne požadavek. Říká, co je možné, a nikomu nic neukládá.</w:t>
            </w:r>
          </w:p>
          <w:p>
            <w:pPr>
              <w:spacing w:before="20" w:after="60"/>
            </w:pPr>
            <w:r>
              <w:rPr>
                <w:b w:val="0"/>
                <w:i w:val="0"/>
                <w:sz w:val="19"/>
              </w:rPr>
              <w:t>Položky seznamu formulují požadavky jako závazné („musí“), i když specifikace místy jen doporučuje (should) nebo uvádí kandidátní mechanismus. Je to rozhodnutí zadavatele.</w:t>
            </w:r>
          </w:p>
        </w:tc>
      </w:tr>
    </w:tbl>
    <w:p>
      <w:pPr>
        <w:spacing w:before="160" w:after="80"/>
      </w:pPr>
      <w:r>
        <w:rPr>
          <w:b w:val="0"/>
          <w:i/>
          <w:color w:val="646B82"/>
          <w:sz w:val="18"/>
        </w:rPr>
        <w:t>Každá položka seznamu nese malý odkaz jako → MIM0 R1.1. To je požadavek specifikace MIMs Plus 9.0, ze kterého vychází; hned za seznamem najdete všechny požadavky daného MIM doslova. Klíčová slova definuje jen MIM0: platí, když jsou napsaná verzálkami, což je konvence IETF RFC 2119 a RFC 8174 (CAN pochází z pravidel ISO/IEC Directives, Part 2). Ostatní MIMs definici nemají: MIM6 píše SHALL převážně verzálkami, MIM2, MIM3, MIM7 a MIM8 píšou shall, should a must malými písmeny a MIM1 je používá jen v popisu mechanismu (MUST NOT v části 3.1). Tato brožura čte malá slova stejně; dodavatel je může číst volněji.</w:t>
      </w:r>
    </w:p>
    <w:p>
      <w:r>
        <w:br w:type="page"/>
      </w:r>
    </w:p>
    <w:p>
      <w:pPr>
        <w:spacing w:before="120" w:after="160"/>
      </w:pPr>
      <w:r>
        <w:rPr>
          <w:b/>
          <w:i w:val="0"/>
          <w:color w:val="2F3F9E"/>
          <w:sz w:val="36"/>
        </w:rPr>
        <w:t>Sedm MIMs a tři nástroje</w:t>
      </w:r>
    </w:p>
    <w:p>
      <w:pPr>
        <w:spacing w:before="40" w:after="200"/>
      </w:pPr>
      <w:r>
        <w:rPr>
          <w:b w:val="0"/>
          <w:i w:val="0"/>
          <w:sz w:val="21"/>
        </w:rPr>
        <w:t>Sedm malých mechanismů, jeden cíl: data zůstanou pod kontrolou města a systémy budou vzájemně komunikovat.</w:t>
      </w:r>
    </w:p>
    <w:p>
      <w:pPr>
        <w:spacing w:before="40" w:after="20"/>
      </w:pPr>
      <w:r>
        <w:rPr>
          <w:b/>
          <w:i w:val="0"/>
          <w:color w:val="2F3F9E"/>
          <w:sz w:val="20"/>
        </w:rPr>
        <w:t xml:space="preserve">MIM0  </w:t>
      </w:r>
      <w:r>
        <w:rPr>
          <w:b/>
          <w:i w:val="0"/>
          <w:sz w:val="20"/>
        </w:rPr>
        <w:t>Přístup k datům</w:t>
      </w:r>
    </w:p>
    <w:p>
      <w:pPr>
        <w:spacing w:before="40" w:after="20"/>
      </w:pPr>
      <w:r>
        <w:rPr>
          <w:b/>
          <w:i w:val="0"/>
          <w:color w:val="0B7485"/>
          <w:sz w:val="19"/>
        </w:rPr>
        <w:t xml:space="preserve">Dostaneme svá data ven?  </w:t>
      </w:r>
      <w:r>
        <w:rPr>
          <w:b w:val="0"/>
          <w:i w:val="0"/>
          <w:sz w:val="19"/>
        </w:rPr>
        <w:t>Data jsou dostupná přes standardní webové API ve strojově čitelných formátech.</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Propojení dat</w:t>
      </w:r>
    </w:p>
    <w:p>
      <w:pPr>
        <w:spacing w:before="40" w:after="20"/>
      </w:pPr>
      <w:r>
        <w:rPr>
          <w:b/>
          <w:i w:val="0"/>
          <w:color w:val="0B7485"/>
          <w:sz w:val="19"/>
        </w:rPr>
        <w:t xml:space="preserve">Má každá věc trvalé jméno?  </w:t>
      </w:r>
      <w:r>
        <w:rPr>
          <w:b w:val="0"/>
          <w:i w:val="0"/>
          <w:sz w:val="19"/>
        </w:rPr>
        <w:t>Každý senzor, lampa a budova má jedinečný a trvalý identifikátor.</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Reprezentace dat</w:t>
      </w:r>
    </w:p>
    <w:p>
      <w:pPr>
        <w:spacing w:before="40" w:after="20"/>
      </w:pPr>
      <w:r>
        <w:rPr>
          <w:b/>
          <w:i w:val="0"/>
          <w:color w:val="0B7485"/>
          <w:sz w:val="19"/>
        </w:rPr>
        <w:t xml:space="preserve">Mluvíme společným jazykem?  </w:t>
      </w:r>
      <w:r>
        <w:rPr>
          <w:b w:val="0"/>
          <w:i w:val="0"/>
          <w:sz w:val="19"/>
        </w:rPr>
        <w:t>Data používají standardní, zdokumentované datové modely s jasnými jednotkami.</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Výměna dat</w:t>
      </w:r>
    </w:p>
    <w:p>
      <w:pPr>
        <w:spacing w:before="40" w:after="20"/>
      </w:pPr>
      <w:r>
        <w:rPr>
          <w:b/>
          <w:i w:val="0"/>
          <w:color w:val="0B7485"/>
          <w:sz w:val="19"/>
        </w:rPr>
        <w:t xml:space="preserve">Umíme sdílet za jasných podmínek?  </w:t>
      </w:r>
      <w:r>
        <w:rPr>
          <w:b w:val="0"/>
          <w:i w:val="0"/>
          <w:sz w:val="19"/>
        </w:rPr>
        <w:t>Datové sady jsou v katalogu a sdílejí se pod šablonovými licencemi s jasnými pravidly.</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Zabezpečení dat</w:t>
      </w:r>
    </w:p>
    <w:p>
      <w:pPr>
        <w:spacing w:before="40" w:after="20"/>
      </w:pPr>
      <w:r>
        <w:rPr>
          <w:b/>
          <w:i w:val="0"/>
          <w:color w:val="0B7485"/>
          <w:sz w:val="19"/>
        </w:rPr>
        <w:t xml:space="preserve">Jsou naše data v bezpečí?  </w:t>
      </w:r>
      <w:r>
        <w:rPr>
          <w:b w:val="0"/>
          <w:i w:val="0"/>
          <w:sz w:val="19"/>
        </w:rPr>
        <w:t>Šifrovaný přenos, standardní přihlašování, rolové přístupy, auditní záznamy.</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Geoprostorová data</w:t>
      </w:r>
    </w:p>
    <w:p>
      <w:pPr>
        <w:spacing w:before="40" w:after="20"/>
      </w:pPr>
      <w:r>
        <w:rPr>
          <w:b/>
          <w:i w:val="0"/>
          <w:color w:val="0B7485"/>
          <w:sz w:val="19"/>
        </w:rPr>
        <w:t xml:space="preserve">Funguje to na mapě?  </w:t>
      </w:r>
      <w:r>
        <w:rPr>
          <w:b w:val="0"/>
          <w:i w:val="0"/>
          <w:sz w:val="19"/>
        </w:rPr>
        <w:t>Prostorová data používají rozhraní OGC, otevřené formáty a deklarované souřadnicové systémy.</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Lokální digitální dvojčata</w:t>
      </w:r>
    </w:p>
    <w:p>
      <w:pPr>
        <w:spacing w:before="40" w:after="20"/>
      </w:pPr>
      <w:r>
        <w:rPr>
          <w:b/>
          <w:i w:val="0"/>
          <w:color w:val="0B7485"/>
          <w:sz w:val="19"/>
        </w:rPr>
        <w:t xml:space="preserve">Může naše dvojče růst?  </w:t>
      </w:r>
      <w:r>
        <w:rPr>
          <w:b w:val="0"/>
          <w:i w:val="0"/>
          <w:sz w:val="19"/>
        </w:rPr>
        <w:t>Data, modely a výsledky dvojčete zůstávají přístupné, zdokumentované a znovu použitelné.</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Nástroje pro vaši zakázku</w:t>
      </w:r>
    </w:p>
    <w:p>
      <w:pPr>
        <w:spacing w:before="40" w:after="20"/>
      </w:pPr>
      <w:r>
        <w:rPr>
          <w:b/>
          <w:i w:val="0"/>
          <w:color w:val="2F3F9E"/>
          <w:sz w:val="20"/>
        </w:rPr>
        <w:t>Průřezové smluvní klauzule</w:t>
      </w:r>
    </w:p>
    <w:p>
      <w:pPr>
        <w:spacing w:before="40" w:after="120"/>
      </w:pPr>
      <w:r>
        <w:rPr>
          <w:b/>
          <w:i w:val="0"/>
          <w:color w:val="0B7485"/>
          <w:sz w:val="19"/>
        </w:rPr>
        <w:t xml:space="preserve">Co dát do každé smlouvy?  </w:t>
      </w:r>
      <w:r>
        <w:rPr>
          <w:b w:val="0"/>
          <w:i w:val="0"/>
          <w:sz w:val="19"/>
        </w:rPr>
        <w:t>Exit, práva k datům, stabilita API.</w:t>
      </w:r>
    </w:p>
    <w:p>
      <w:pPr>
        <w:spacing w:before="40" w:after="20"/>
      </w:pPr>
      <w:r>
        <w:rPr>
          <w:b/>
          <w:i w:val="0"/>
          <w:color w:val="2F3F9E"/>
          <w:sz w:val="20"/>
        </w:rPr>
        <w:t>Příklad: senzory kvality ovzduší</w:t>
      </w:r>
    </w:p>
    <w:p>
      <w:pPr>
        <w:spacing w:before="40" w:after="120"/>
      </w:pPr>
      <w:r>
        <w:rPr>
          <w:b/>
          <w:i w:val="0"/>
          <w:color w:val="0B7485"/>
          <w:sz w:val="19"/>
        </w:rPr>
        <w:t xml:space="preserve">Jak to vypadá v praxi?  </w:t>
      </w:r>
      <w:r>
        <w:rPr>
          <w:b w:val="0"/>
          <w:i w:val="0"/>
          <w:sz w:val="19"/>
        </w:rPr>
        <w:t>Kam co patří a ukázka textu k vložení.</w:t>
      </w:r>
    </w:p>
    <w:p>
      <w:pPr>
        <w:spacing w:before="40" w:after="20"/>
      </w:pPr>
      <w:r>
        <w:rPr>
          <w:b/>
          <w:i w:val="0"/>
          <w:color w:val="2F3F9E"/>
          <w:sz w:val="20"/>
        </w:rPr>
        <w:t>Tabulka shody</w:t>
      </w:r>
    </w:p>
    <w:p>
      <w:pPr>
        <w:spacing w:before="40" w:after="120"/>
      </w:pPr>
      <w:r>
        <w:rPr>
          <w:b/>
          <w:i w:val="0"/>
          <w:color w:val="0B7485"/>
          <w:sz w:val="19"/>
        </w:rPr>
        <w:t xml:space="preserve">Jak to dodavatel prokáže?  </w:t>
      </w:r>
      <w:r>
        <w:rPr>
          <w:b w:val="0"/>
          <w:i w:val="0"/>
          <w:sz w:val="19"/>
        </w:rPr>
        <w:t>Vyplňuje dodavatel, ověřuje komise, příloha smlouvy.</w:t>
      </w:r>
    </w:p>
    <w:p>
      <w:pPr>
        <w:spacing w:before="80" w:after="80"/>
      </w:pPr>
      <w:r>
        <w:rPr>
          <w:b w:val="0"/>
          <w:i/>
          <w:color w:val="646B82"/>
          <w:sz w:val="18"/>
        </w:rPr>
        <w:t>K číslování: MIMs Plus 9.0 specifikuje sedm mechanismů s čísly 0, 1, 2, 3, 6, 7 a 8. MIM4 (osobní údaje) a MIM5 (spravedlivá umělá inteligence) patří ke starším verzím OASC a součástí verze 9.0 nejsou. V brožuře nic nechybí.</w:t>
      </w:r>
    </w:p>
    <w:p>
      <w:r>
        <w:br w:type="page"/>
      </w:r>
    </w:p>
    <w:p>
      <w:pPr>
        <w:spacing w:before="120" w:after="40"/>
      </w:pPr>
      <w:r>
        <w:rPr>
          <w:b/>
          <w:i w:val="0"/>
          <w:color w:val="2F3F9E"/>
          <w:sz w:val="36"/>
        </w:rPr>
        <w:t>MIM0 · Dostaneme svá data ven?</w:t>
      </w:r>
    </w:p>
    <w:p>
      <w:pPr>
        <w:spacing w:before="40" w:after="40"/>
      </w:pPr>
      <w:r>
        <w:rPr>
          <w:b w:val="0"/>
          <w:i w:val="0"/>
          <w:color w:val="646B82"/>
          <w:sz w:val="20"/>
        </w:rPr>
        <w:t xml:space="preserve">Přístup k datům   </w:t>
      </w:r>
      <w:hyperlink r:id="rId13">
        <w:r>
          <w:rPr>
            <w:color w:val="2F3F9E"/>
            <w:u w:val="single"/>
            <w:sz w:val="17.0"/>
          </w:rPr>
          <w:t>mims.oascities.org/accessing-data</w:t>
        </w:r>
      </w:hyperlink>
    </w:p>
    <w:p>
      <w:pPr>
        <w:spacing w:before="120" w:after="200"/>
      </w:pPr>
      <w:r>
        <w:rPr>
          <w:b w:val="0"/>
          <w:i w:val="0"/>
          <w:sz w:val="20"/>
        </w:rPr>
        <w:t>Toto je základ. Pokud data neumí opustit systém přes standardní rozhraní, všechno ostatní v této brožuře je jen teorie. MIM0 žádá po každém systému jediné: data musí být dosažitelná přes běžný web, v podobě čitelné stroji.</w:t>
      </w:r>
    </w:p>
    <w:p>
      <w:pPr>
        <w:spacing w:before="40" w:after="20"/>
      </w:pPr>
      <w:r>
        <w:rPr>
          <w:b/>
          <w:i w:val="0"/>
          <w:color w:val="2F3F9E"/>
          <w:sz w:val="22"/>
        </w:rPr>
        <w:t xml:space="preserve">☐  </w:t>
      </w:r>
      <w:r>
        <w:rPr>
          <w:b/>
          <w:i w:val="0"/>
          <w:color w:val="2F3F9E"/>
          <w:sz w:val="20"/>
        </w:rPr>
        <w:t xml:space="preserve">0.1  </w:t>
      </w:r>
      <w:r>
        <w:rPr>
          <w:b/>
          <w:i w:val="0"/>
          <w:sz w:val="20"/>
        </w:rPr>
        <w:t>Systém musí zpřístupňovat všechna data, která sbírá nebo vytváří, alespoň v jednom strojově čitelném formátu (např. JSON, CSV) přes standardní webové API.</w:t>
      </w:r>
    </w:p>
    <w:p>
      <w:pPr>
        <w:spacing w:before="40" w:after="140"/>
      </w:pPr>
      <w:r>
        <w:rPr>
          <w:b w:val="0"/>
          <w:i/>
          <w:color w:val="646B82"/>
          <w:sz w:val="18"/>
        </w:rPr>
        <w:t xml:space="preserve">Váš další dodavatel nebo vlastní zaměstnanci data použijí bez žádostí o součinnost.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API musí být formálně popsané v otevřeném, strojově čitelném dokumentu (např. OpenAPI) zveřejněném na stálé adrese.</w:t>
      </w:r>
    </w:p>
    <w:p>
      <w:pPr>
        <w:spacing w:before="40" w:after="140"/>
      </w:pPr>
      <w:r>
        <w:rPr>
          <w:b w:val="0"/>
          <w:i/>
          <w:color w:val="646B82"/>
          <w:sz w:val="18"/>
        </w:rPr>
        <w:t xml:space="preserve">Kterýkoli vývojář se připojí bez placené integrační analýzy.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API musí umožňovat filtrování dat podle času, místa a atributů.</w:t>
      </w:r>
    </w:p>
    <w:p>
      <w:pPr>
        <w:spacing w:before="40" w:after="140"/>
      </w:pPr>
      <w:r>
        <w:rPr>
          <w:b w:val="0"/>
          <w:i/>
          <w:color w:val="646B82"/>
          <w:sz w:val="18"/>
        </w:rPr>
        <w:t xml:space="preserve">Stáhnete jen to, co potřebujete, ne noční export celé databáze.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Při potřebě dat v reálném čase musí systém umožnit odběr změn (webhooky, MQTT apod.) namísto neustálého dotazování.</w:t>
      </w:r>
    </w:p>
    <w:p>
      <w:pPr>
        <w:spacing w:before="40" w:after="140"/>
      </w:pPr>
      <w:r>
        <w:rPr>
          <w:b w:val="0"/>
          <w:i/>
          <w:color w:val="646B82"/>
          <w:sz w:val="18"/>
        </w:rPr>
        <w:t xml:space="preserve">Přehledy a notifikace v reálném čase jsou možné a levné.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Chybové stavy, vyrovnávací paměť (cache) a limity požadavků musí používat standardní HTTP konvence a musí být zdokumentované.</w:t>
      </w:r>
    </w:p>
    <w:p>
      <w:pPr>
        <w:spacing w:before="40" w:after="140"/>
      </w:pPr>
      <w:r>
        <w:rPr>
          <w:b w:val="0"/>
          <w:i/>
          <w:color w:val="646B82"/>
          <w:sz w:val="18"/>
        </w:rPr>
        <w:t xml:space="preserve">Když integrace selže, hned je vidět proč a kde to opravit.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PROČ NA TOM ZÁLEŽÍ</w:t>
            </w:r>
          </w:p>
          <w:p>
            <w:pPr>
              <w:spacing w:before="20" w:after="60"/>
            </w:pPr>
            <w:r>
              <w:rPr>
                <w:b/>
                <w:i w:val="0"/>
                <w:color w:val="2F3F9E"/>
                <w:sz w:val="18"/>
              </w:rPr>
              <w:t xml:space="preserve">•  </w:t>
            </w:r>
            <w:r>
              <w:rPr>
                <w:b w:val="0"/>
                <w:i w:val="0"/>
                <w:sz w:val="18"/>
              </w:rPr>
              <w:t>Data, která jste zaplatili, zůstanou použitelná i po skončení smlouvy.</w:t>
            </w:r>
          </w:p>
          <w:p>
            <w:pPr>
              <w:spacing w:before="20" w:after="60"/>
            </w:pPr>
            <w:r>
              <w:rPr>
                <w:b/>
                <w:i w:val="0"/>
                <w:color w:val="2F3F9E"/>
                <w:sz w:val="18"/>
              </w:rPr>
              <w:t xml:space="preserve">•  </w:t>
            </w:r>
            <w:r>
              <w:rPr>
                <w:b w:val="0"/>
                <w:i w:val="0"/>
                <w:sz w:val="18"/>
              </w:rPr>
              <w:t>Nové služby staví na existujících datech místo startu od nuly.</w:t>
            </w:r>
          </w:p>
          <w:p>
            <w:pPr>
              <w:spacing w:before="20" w:after="60"/>
            </w:pPr>
            <w:r>
              <w:rPr>
                <w:b/>
                <w:i w:val="0"/>
                <w:color w:val="2F3F9E"/>
                <w:sz w:val="18"/>
              </w:rPr>
              <w:t xml:space="preserve">•  </w:t>
            </w:r>
            <w:r>
              <w:rPr>
                <w:b w:val="0"/>
                <w:i w:val="0"/>
                <w:sz w:val="18"/>
              </w:rPr>
              <w:t>Náklady na integraci klesají s každým dalším projektem.</w:t>
            </w:r>
          </w:p>
        </w:tc>
        <w:tc>
          <w:tcPr>
            <w:tcW w:type="dxa" w:w="4986"/>
            <w:shd w:val="clear" w:fill="FBEEEE"/>
          </w:tcPr>
          <w:p>
            <w:pPr>
              <w:spacing w:before="20" w:after="60"/>
            </w:pPr>
            <w:r>
              <w:rPr>
                <w:b/>
                <w:i w:val="0"/>
                <w:color w:val="A02020"/>
                <w:sz w:val="18"/>
              </w:rPr>
              <w:t>VAROVNÉ SIGNÁLY</w:t>
            </w:r>
          </w:p>
          <w:p>
            <w:pPr>
              <w:spacing w:before="20" w:after="60"/>
            </w:pPr>
            <w:r>
              <w:rPr>
                <w:b/>
                <w:i w:val="0"/>
                <w:color w:val="A02020"/>
                <w:sz w:val="18"/>
              </w:rPr>
              <w:t xml:space="preserve">•  </w:t>
            </w:r>
            <w:r>
              <w:rPr>
                <w:b w:val="0"/>
                <w:i w:val="0"/>
                <w:sz w:val="18"/>
              </w:rPr>
              <w:t>„Export dat na vyžádání přes podporu.“</w:t>
            </w:r>
          </w:p>
          <w:p>
            <w:pPr>
              <w:spacing w:before="20" w:after="60"/>
            </w:pPr>
            <w:r>
              <w:rPr>
                <w:b/>
                <w:i w:val="0"/>
                <w:color w:val="A02020"/>
                <w:sz w:val="18"/>
              </w:rPr>
              <w:t xml:space="preserve">•  </w:t>
            </w:r>
            <w:r>
              <w:rPr>
                <w:b w:val="0"/>
                <w:i w:val="0"/>
                <w:sz w:val="18"/>
              </w:rPr>
              <w:t>„API je placený modul.“</w:t>
            </w:r>
          </w:p>
          <w:p>
            <w:pPr>
              <w:spacing w:before="20" w:after="60"/>
            </w:pPr>
            <w:r>
              <w:rPr>
                <w:b/>
                <w:i w:val="0"/>
                <w:color w:val="A02020"/>
                <w:sz w:val="18"/>
              </w:rPr>
              <w:t xml:space="preserve">•  </w:t>
            </w:r>
            <w:r>
              <w:rPr>
                <w:b w:val="0"/>
                <w:i w:val="0"/>
                <w:sz w:val="18"/>
              </w:rPr>
              <w:t>Zpoplatněný přístup města k vlastním datům (viz klauzuli „Žádné poplatky za vlastní data“).</w:t>
            </w:r>
          </w:p>
        </w:tc>
      </w:tr>
    </w:tbl>
    <w:p>
      <w:pPr>
        <w:spacing w:before="280" w:after="40"/>
      </w:pPr>
      <w:r>
        <w:rPr>
          <w:b/>
          <w:i w:val="0"/>
          <w:color w:val="2F3F9E"/>
          <w:sz w:val="26"/>
        </w:rPr>
        <w:t>Co říká specifikace</w:t>
      </w:r>
    </w:p>
    <w:p>
      <w:pPr>
        <w:spacing w:before="40" w:after="120"/>
      </w:pPr>
      <w:r>
        <w:rPr>
          <w:b w:val="0"/>
          <w:i w:val="0"/>
          <w:color w:val="646B82"/>
          <w:sz w:val="18"/>
        </w:rPr>
        <w:t>Všechny požadavky tohoto MIM ze specifikace MIMs Plus 9.0. Specifikace existuje jen v angličtině: české znění je neoficiální překlad autora brožury, závazný je anglický originál pod ním.</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Strojově čitelná data jsou dostupná přes web</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Systémy MUSÍ umožnit získání dat alespoň v jednom strojově čitelném formátu. Formáty lze specifikovat přes HTTP Content-Negotiation (vyjednávání o obsahu).</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Data MUSÍ být dostupná alespoň jedním standardním webovým mechanismem.</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Mechanismy přístupu MUSÍ být formálně popsané.</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Datové modely použité v přenášených datech mají být specifikovány (viz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Přístup je strukturovaný a umožňuje dotazování</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Systémy MUSÍ poskytovat data přes strukturované a konzistentní rozhraní.</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Systémy MUSÍ podporovat základní dotazování a/nebo filtrování (např. podle času, polohy, atributů).</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Další osvědčené postupy ke zvážení:</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API MAJÍ podporovat získání aktuálních dat</w:t>
              <w:br/>
              <w:t>API MAJÍ podporovat získání historických dat, je-li to relevantní</w:t>
              <w:br/>
              <w:t>API MAJÍ podporovat geoprostorové dotazování, je-li to relevantní (viz MIM7)</w:t>
              <w:br/>
              <w:t>API MAJÍ podporovat odběr změn, je-li to relevantní</w:t>
              <w:br/>
              <w:t>API MAJÍ uvádět čas nejbližší očekávané aktualizace</w:t>
              <w:br/>
              <w:t>API MAJÍ podporovat explicitní verzování koncových bodů</w:t>
              <w:br/>
              <w:t>API MAJÍ poskytovat vzorové odpovědi nebo testovací dotazy</w:t>
              <w:br/>
              <w:t>API MAJÍ podporovat standardní HTTP hlavičky pro vyrovnávací paměť</w:t>
              <w:br/>
              <w:t>API MAJÍ oznamovat stav limitů požadavků přes standardní HTTP hlavičky</w:t>
              <w:br/>
              <w:t>API MAJÍ vracet strukturované chybové odpovědi</w:t>
              <w:br/>
              <w:t>API MOHOU podporovat částečné odpovědi nebo projekce dotazů</w:t>
              <w:br/>
              <w:t>API MOHOU vystavovat standardní koncový bod stavu služby</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Změny dat je možné odebírat</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Systémy pro případy užití, které vyžadují notifikace, MUSÍ poskytovat alespoň jeden mechanismus pro příjem aktualizací o změnách dat.</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Systémy MOHOU podporovat více mechanismů odběru v závislosti na případu užití.</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Přístup k informacím je možné omezit</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Pokud jsou taková omezení zavedena, MUSÍ se řídit požadavky definovanými v MIM3 a MIM6, konkrétně: identifikace aktérů (MIM3.C5.R0), autorizace a role aktérů (MIM6.C1.R4), politiky na úrovni datových aktiv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Celé znění specifikace: </w:t>
      </w:r>
      <w:hyperlink r:id="rId13">
        <w:r>
          <w:rPr>
            <w:color w:val="2F3F9E"/>
            <w:u w:val="single"/>
            <w:sz w:val="18"/>
          </w:rPr>
          <w:t>https://mims.oascities.org/accessing-data</w:t>
        </w:r>
      </w:hyperlink>
    </w:p>
    <w:p>
      <w:r>
        <w:br w:type="page"/>
      </w:r>
    </w:p>
    <w:p>
      <w:pPr>
        <w:spacing w:before="120" w:after="40"/>
      </w:pPr>
      <w:r>
        <w:rPr>
          <w:b/>
          <w:i w:val="0"/>
          <w:color w:val="2F3F9E"/>
          <w:sz w:val="36"/>
        </w:rPr>
        <w:t>MIM1 · Má každá věc trvalé jméno?</w:t>
      </w:r>
    </w:p>
    <w:p>
      <w:pPr>
        <w:spacing w:before="40" w:after="40"/>
      </w:pPr>
      <w:r>
        <w:rPr>
          <w:b w:val="0"/>
          <w:i w:val="0"/>
          <w:color w:val="646B82"/>
          <w:sz w:val="20"/>
        </w:rPr>
        <w:t xml:space="preserve">Propojení dat   </w:t>
      </w:r>
      <w:hyperlink r:id="rId14">
        <w:r>
          <w:rPr>
            <w:color w:val="2F3F9E"/>
            <w:u w:val="single"/>
            <w:sz w:val="17.0"/>
          </w:rPr>
          <w:t>mims.oascities.org/interlinking-data</w:t>
        </w:r>
      </w:hyperlink>
    </w:p>
    <w:p>
      <w:pPr>
        <w:spacing w:before="120" w:after="200"/>
      </w:pPr>
      <w:r>
        <w:rPr>
          <w:b w:val="0"/>
          <w:i w:val="0"/>
          <w:sz w:val="20"/>
        </w:rPr>
        <w:t>Město je plné věcí: lampy, potrubí, budovy, parkovací místa. Systémy přicházejí a odcházejí, věci zůstávají. MIM1 žádá, aby každá věc dostala jméno, tedy identifikátor, který přežije software, jenž ji poprvé zaznamenal. Její historie a vazby na další data pak přežijí každou migraci.</w:t>
      </w:r>
    </w:p>
    <w:p>
      <w:pPr>
        <w:spacing w:before="40" w:after="20"/>
      </w:pPr>
      <w:r>
        <w:rPr>
          <w:b/>
          <w:i w:val="0"/>
          <w:color w:val="2F3F9E"/>
          <w:sz w:val="22"/>
        </w:rPr>
        <w:t xml:space="preserve">☐  </w:t>
      </w:r>
      <w:r>
        <w:rPr>
          <w:b/>
          <w:i w:val="0"/>
          <w:color w:val="2F3F9E"/>
          <w:sz w:val="20"/>
        </w:rPr>
        <w:t xml:space="preserve">1.1  </w:t>
      </w:r>
      <w:r>
        <w:rPr>
          <w:b/>
          <w:i w:val="0"/>
          <w:sz w:val="20"/>
        </w:rPr>
        <w:t>Každá entita (senzor, lampa, budova, parkovací místo…) musí mít jedinečný a trvalý identifikátor, který se nemění při výměně softwaru.</w:t>
      </w:r>
    </w:p>
    <w:p>
      <w:pPr>
        <w:spacing w:before="40" w:after="140"/>
      </w:pPr>
      <w:r>
        <w:rPr>
          <w:b w:val="0"/>
          <w:i/>
          <w:color w:val="646B82"/>
          <w:sz w:val="18"/>
        </w:rPr>
        <w:t xml:space="preserve">Historie a vazby mezi systémy přežijí dodavatele.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Podle identifikátoru musí být možné dohledat data entity i její význam (typ) ve strojově čitelné podobě.</w:t>
      </w:r>
    </w:p>
    <w:p>
      <w:pPr>
        <w:spacing w:before="40" w:after="140"/>
      </w:pPr>
      <w:r>
        <w:rPr>
          <w:b w:val="0"/>
          <w:i/>
          <w:color w:val="646B82"/>
          <w:sz w:val="18"/>
        </w:rPr>
        <w:t xml:space="preserve">Jiné systémy sledují vazby automaticky.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Pokud tatáž věc existuje ve více systémech, identifikátory musí být možné vzájemně namapovat.</w:t>
      </w:r>
    </w:p>
    <w:p>
      <w:pPr>
        <w:spacing w:before="40" w:after="140"/>
      </w:pPr>
      <w:r>
        <w:rPr>
          <w:b w:val="0"/>
          <w:i/>
          <w:color w:val="646B82"/>
          <w:sz w:val="18"/>
        </w:rPr>
        <w:t xml:space="preserve">Budova v GIS a v energetickém systému je prokazatelně tatáž budova.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Identifikátory nesmí obsahovat interní detaily dodavatele (ID řádku v databázi, názvy serverů).</w:t>
      </w:r>
    </w:p>
    <w:p>
      <w:pPr>
        <w:spacing w:before="40" w:after="140"/>
      </w:pPr>
      <w:r>
        <w:rPr>
          <w:b w:val="0"/>
          <w:i/>
          <w:color w:val="646B82"/>
          <w:sz w:val="18"/>
        </w:rPr>
        <w:t xml:space="preserve">Jinak identifikátory zaniknou spolu se smlouvou.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PROČ NA TOM ZÁLEŽÍ</w:t>
            </w:r>
          </w:p>
          <w:p>
            <w:pPr>
              <w:spacing w:before="20" w:after="60"/>
            </w:pPr>
            <w:r>
              <w:rPr>
                <w:b/>
                <w:i w:val="0"/>
                <w:color w:val="2F3F9E"/>
                <w:sz w:val="18"/>
              </w:rPr>
              <w:t xml:space="preserve">•  </w:t>
            </w:r>
            <w:r>
              <w:rPr>
                <w:b w:val="0"/>
                <w:i w:val="0"/>
                <w:sz w:val="18"/>
              </w:rPr>
              <w:t>Deset let měření zůstane u správného sloupu osvětlení.</w:t>
            </w:r>
          </w:p>
          <w:p>
            <w:pPr>
              <w:spacing w:before="20" w:after="60"/>
            </w:pPr>
            <w:r>
              <w:rPr>
                <w:b/>
                <w:i w:val="0"/>
                <w:color w:val="2F3F9E"/>
                <w:sz w:val="18"/>
              </w:rPr>
              <w:t xml:space="preserve">•  </w:t>
            </w:r>
            <w:r>
              <w:rPr>
                <w:b w:val="0"/>
                <w:i w:val="0"/>
                <w:sz w:val="18"/>
              </w:rPr>
              <w:t>Odbory přestanou vést pět protichůdných evidencí týchž věcí.</w:t>
            </w:r>
          </w:p>
          <w:p>
            <w:pPr>
              <w:spacing w:before="20" w:after="60"/>
            </w:pPr>
            <w:r>
              <w:rPr>
                <w:b/>
                <w:i w:val="0"/>
                <w:color w:val="2F3F9E"/>
                <w:sz w:val="18"/>
              </w:rPr>
              <w:t xml:space="preserve">•  </w:t>
            </w:r>
            <w:r>
              <w:rPr>
                <w:b w:val="0"/>
                <w:i w:val="0"/>
                <w:sz w:val="18"/>
              </w:rPr>
              <w:t>Propojení datových sad je běžný dotaz do databáze, ne konzultační projekt.</w:t>
            </w:r>
          </w:p>
        </w:tc>
        <w:tc>
          <w:tcPr>
            <w:tcW w:type="dxa" w:w="4986"/>
            <w:shd w:val="clear" w:fill="FBEEEE"/>
          </w:tcPr>
          <w:p>
            <w:pPr>
              <w:spacing w:before="20" w:after="60"/>
            </w:pPr>
            <w:r>
              <w:rPr>
                <w:b/>
                <w:i w:val="0"/>
                <w:color w:val="A02020"/>
                <w:sz w:val="18"/>
              </w:rPr>
              <w:t>VAROVNÉ SIGNÁLY</w:t>
            </w:r>
          </w:p>
          <w:p>
            <w:pPr>
              <w:spacing w:before="20" w:after="60"/>
            </w:pPr>
            <w:r>
              <w:rPr>
                <w:b/>
                <w:i w:val="0"/>
                <w:color w:val="A02020"/>
                <w:sz w:val="18"/>
              </w:rPr>
              <w:t xml:space="preserve">•  </w:t>
            </w:r>
            <w:r>
              <w:rPr>
                <w:b w:val="0"/>
                <w:i w:val="0"/>
                <w:sz w:val="18"/>
              </w:rPr>
              <w:t>„ID jsou interní pro naši platformu.“</w:t>
            </w:r>
          </w:p>
          <w:p>
            <w:pPr>
              <w:spacing w:before="20" w:after="60"/>
            </w:pPr>
            <w:r>
              <w:rPr>
                <w:b/>
                <w:i w:val="0"/>
                <w:color w:val="A02020"/>
                <w:sz w:val="18"/>
              </w:rPr>
              <w:t xml:space="preserve">•  </w:t>
            </w:r>
            <w:r>
              <w:rPr>
                <w:b w:val="0"/>
                <w:i w:val="0"/>
                <w:sz w:val="18"/>
              </w:rPr>
              <w:t>Identifikátory se při každé migraci vygenerují znovu.</w:t>
            </w:r>
          </w:p>
        </w:tc>
      </w:tr>
    </w:tbl>
    <w:p>
      <w:pPr>
        <w:spacing w:before="280" w:after="40"/>
      </w:pPr>
      <w:r>
        <w:rPr>
          <w:b/>
          <w:i w:val="0"/>
          <w:color w:val="2F3F9E"/>
          <w:sz w:val="26"/>
        </w:rPr>
        <w:t>Co říká specifikace</w:t>
      </w:r>
    </w:p>
    <w:p>
      <w:pPr>
        <w:spacing w:before="40" w:after="120"/>
      </w:pPr>
      <w:r>
        <w:rPr>
          <w:b w:val="0"/>
          <w:i w:val="0"/>
          <w:color w:val="646B82"/>
          <w:sz w:val="18"/>
        </w:rPr>
        <w:t>Všechny požadavky tohoto MIM ze specifikace MIMs Plus 9.0. Specifikace existuje jen v angličtině: české znění je neoficiální překlad autora brožury, závazný je anglický originál pod ním.</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Entity jsou identifikovány jedinečnými identifikátory</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Každá entita v systému má jedinečný identifikátor.</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Existuje způsob, jak získat informace o entitě vyhledáním jejího identifikátoru v systému.</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Pokud jedinečný identifikátor ukazuje na tutéž entitu ve více systémech, je možné odvodit, jak o ní vyhledat informace v každém z těchto systémů.</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Pokud na tutéž entitu ukazuje více jedinečných identifikátorů, je možné je vzájemně namapovat.</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Je možné vytvářet identifikátory, které jsou trvalé v čase.</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Entitám lze přiřadit typ</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Existuje způsob, jak získat sémantiku entity pouze pomocí jejího jedinečného identifikátoru.</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Tato sémantika je popsána ve strojově čitelném formátu.</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Na entity lze odkazovat a odkazy vyhodnocovat (dereferencování)</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Existuje způsob, jak dereferencovat vztah definovaný na entitě.</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Existuje způsob, jak k existující ontologii doplnit další sémantiku.</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Mechanismus 1, část 3.1: Identifikace entit globálně jedinečnými IRI</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IRI se ve všech navazujících systémech považuje za kanonický identifikátor; implementace NESMÍ generovat IRI, která obsahují nestálé implementační detaily, jako jsou ID řádků v databázi nebo názvy serverů.</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Celé znění specifikace: </w:t>
      </w:r>
      <w:hyperlink r:id="rId14">
        <w:r>
          <w:rPr>
            <w:color w:val="2F3F9E"/>
            <w:u w:val="single"/>
            <w:sz w:val="18"/>
          </w:rPr>
          <w:t>https://mims.oascities.org/interlinking-data</w:t>
        </w:r>
      </w:hyperlink>
    </w:p>
    <w:p>
      <w:r>
        <w:br w:type="page"/>
      </w:r>
    </w:p>
    <w:p>
      <w:pPr>
        <w:spacing w:before="120" w:after="40"/>
      </w:pPr>
      <w:r>
        <w:rPr>
          <w:b/>
          <w:i w:val="0"/>
          <w:color w:val="2F3F9E"/>
          <w:sz w:val="36"/>
        </w:rPr>
        <w:t>MIM2 · Mluvíme společným jazykem?</w:t>
      </w:r>
    </w:p>
    <w:p>
      <w:pPr>
        <w:spacing w:before="40" w:after="40"/>
      </w:pPr>
      <w:r>
        <w:rPr>
          <w:b w:val="0"/>
          <w:i w:val="0"/>
          <w:color w:val="646B82"/>
          <w:sz w:val="20"/>
        </w:rPr>
        <w:t xml:space="preserve">Reprezentace dat   </w:t>
      </w:r>
      <w:hyperlink r:id="rId15">
        <w:r>
          <w:rPr>
            <w:color w:val="2F3F9E"/>
            <w:u w:val="single"/>
            <w:sz w:val="17.0"/>
          </w:rPr>
          <w:t>mims.oascities.org/representing-data</w:t>
        </w:r>
      </w:hyperlink>
    </w:p>
    <w:p>
      <w:pPr>
        <w:spacing w:before="120" w:after="200"/>
      </w:pPr>
      <w:r>
        <w:rPr>
          <w:b w:val="0"/>
          <w:i w:val="0"/>
          <w:sz w:val="20"/>
        </w:rPr>
        <w:t>Dva systémy mohou exportovat JSON, a přesto si nerozumět. MIM2 je o významu: o sdílených, zdokumentovaných datových modelech s jasnými jednotkami a formáty. „Teplota“, „parkovací místo“ či „kvalita ovzduší“ pak znamenají totéž v každém systému, který vlastníte.</w:t>
      </w:r>
    </w:p>
    <w:p>
      <w:pPr>
        <w:spacing w:before="40" w:after="20"/>
      </w:pPr>
      <w:r>
        <w:rPr>
          <w:b/>
          <w:i w:val="0"/>
          <w:color w:val="2F3F9E"/>
          <w:sz w:val="22"/>
        </w:rPr>
        <w:t xml:space="preserve">☐  </w:t>
      </w:r>
      <w:r>
        <w:rPr>
          <w:b/>
          <w:i w:val="0"/>
          <w:color w:val="2F3F9E"/>
          <w:sz w:val="20"/>
        </w:rPr>
        <w:t xml:space="preserve">2.1  </w:t>
      </w:r>
      <w:r>
        <w:rPr>
          <w:b/>
          <w:i w:val="0"/>
          <w:sz w:val="20"/>
        </w:rPr>
        <w:t>Data musí používat obecně uznávané standardní datové modely, pokud existují (např. Smart Data Models, SAREF, ISO/IEC 5087); odchylky musí být písemně zdůvodněné.</w:t>
      </w:r>
    </w:p>
    <w:p>
      <w:pPr>
        <w:spacing w:before="40" w:after="140"/>
      </w:pPr>
      <w:r>
        <w:rPr>
          <w:b w:val="0"/>
          <w:i/>
          <w:color w:val="646B82"/>
          <w:sz w:val="18"/>
        </w:rPr>
        <w:t xml:space="preserve">Data od dvou dodavatelů se spojí bez překladového projektu.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Všechny použité datové modely musí být výslovně zdokumentované včetně měrných jednotek a formátů data a času.</w:t>
      </w:r>
    </w:p>
    <w:p>
      <w:pPr>
        <w:spacing w:before="40" w:after="140"/>
      </w:pPr>
      <w:r>
        <w:rPr>
          <w:b w:val="0"/>
          <w:i/>
          <w:color w:val="646B82"/>
          <w:sz w:val="18"/>
        </w:rPr>
        <w:t xml:space="preserve">„Teplota: 23“ je k ničemu, pokud nikdo nenapsal, jestli jde o °C, nebo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Rozšíření se musí dodávat jako zdokumentované profily nebo nadstavby nad standardním modelem, ne jako upravená soukromá větev (fork).</w:t>
      </w:r>
    </w:p>
    <w:p>
      <w:pPr>
        <w:spacing w:before="40" w:after="140"/>
      </w:pPr>
      <w:r>
        <w:rPr>
          <w:b w:val="0"/>
          <w:i/>
          <w:color w:val="646B82"/>
          <w:sz w:val="18"/>
        </w:rPr>
        <w:t xml:space="preserve">Zůstanete kompatibilní s komunitou i budoucími aktualizacemi.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Každý model musí mít alespoň jednu otevřenou serializaci s možností validace schématem (např. JSON s JSON Schema).</w:t>
      </w:r>
    </w:p>
    <w:p>
      <w:pPr>
        <w:spacing w:before="40" w:after="140"/>
      </w:pPr>
      <w:r>
        <w:rPr>
          <w:b w:val="0"/>
          <w:i/>
          <w:color w:val="646B82"/>
          <w:sz w:val="18"/>
        </w:rPr>
        <w:t xml:space="preserve">Příchozí data se automaticky zkontrolují už na vstupu.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PROČ NA TOM ZÁLEŽÍ</w:t>
            </w:r>
          </w:p>
          <w:p>
            <w:pPr>
              <w:spacing w:before="20" w:after="60"/>
            </w:pPr>
            <w:r>
              <w:rPr>
                <w:b/>
                <w:i w:val="0"/>
                <w:color w:val="2F3F9E"/>
                <w:sz w:val="18"/>
              </w:rPr>
              <w:t xml:space="preserve">•  </w:t>
            </w:r>
            <w:r>
              <w:rPr>
                <w:b w:val="0"/>
                <w:i w:val="0"/>
                <w:sz w:val="18"/>
              </w:rPr>
              <w:t>Jeden přehled čte data od mnoha dodavatelů bez adaptérů.</w:t>
            </w:r>
          </w:p>
          <w:p>
            <w:pPr>
              <w:spacing w:before="20" w:after="60"/>
            </w:pPr>
            <w:r>
              <w:rPr>
                <w:b/>
                <w:i w:val="0"/>
                <w:color w:val="2F3F9E"/>
                <w:sz w:val="18"/>
              </w:rPr>
              <w:t xml:space="preserve">•  </w:t>
            </w:r>
            <w:r>
              <w:rPr>
                <w:b w:val="0"/>
                <w:i w:val="0"/>
                <w:sz w:val="18"/>
              </w:rPr>
              <w:t>Vašim datům rozumějí nástroje jiných měst a jejich datům ty vaše.</w:t>
            </w:r>
          </w:p>
          <w:p>
            <w:pPr>
              <w:spacing w:before="20" w:after="60"/>
            </w:pPr>
            <w:r>
              <w:rPr>
                <w:b/>
                <w:i w:val="0"/>
                <w:color w:val="2F3F9E"/>
                <w:sz w:val="18"/>
              </w:rPr>
              <w:t xml:space="preserve">•  </w:t>
            </w:r>
            <w:r>
              <w:rPr>
                <w:b w:val="0"/>
                <w:i w:val="0"/>
                <w:sz w:val="18"/>
              </w:rPr>
              <w:t>Automatická validace zachytí poškozená data dřív, než se rozšíří.</w:t>
            </w:r>
          </w:p>
        </w:tc>
        <w:tc>
          <w:tcPr>
            <w:tcW w:type="dxa" w:w="4986"/>
            <w:shd w:val="clear" w:fill="FBEEEE"/>
          </w:tcPr>
          <w:p>
            <w:pPr>
              <w:spacing w:before="20" w:after="60"/>
            </w:pPr>
            <w:r>
              <w:rPr>
                <w:b/>
                <w:i w:val="0"/>
                <w:color w:val="A02020"/>
                <w:sz w:val="18"/>
              </w:rPr>
              <w:t>VAROVNÉ SIGNÁLY</w:t>
            </w:r>
          </w:p>
          <w:p>
            <w:pPr>
              <w:spacing w:before="20" w:after="60"/>
            </w:pPr>
            <w:r>
              <w:rPr>
                <w:b/>
                <w:i w:val="0"/>
                <w:color w:val="A02020"/>
                <w:sz w:val="18"/>
              </w:rPr>
              <w:t xml:space="preserve">•  </w:t>
            </w:r>
            <w:r>
              <w:rPr>
                <w:b w:val="0"/>
                <w:i w:val="0"/>
                <w:sz w:val="18"/>
              </w:rPr>
              <w:t>„Náš proprietární model je bohatší než standard.“</w:t>
            </w:r>
          </w:p>
          <w:p>
            <w:pPr>
              <w:spacing w:before="20" w:after="60"/>
            </w:pPr>
            <w:r>
              <w:rPr>
                <w:b/>
                <w:i w:val="0"/>
                <w:color w:val="A02020"/>
                <w:sz w:val="18"/>
              </w:rPr>
              <w:t xml:space="preserve">•  </w:t>
            </w:r>
            <w:r>
              <w:rPr>
                <w:b w:val="0"/>
                <w:i w:val="0"/>
                <w:sz w:val="18"/>
              </w:rPr>
              <w:t>Dokumentace jen po podpisu dohody o mlčenlivosti (NDA).</w:t>
            </w:r>
          </w:p>
        </w:tc>
      </w:tr>
    </w:tbl>
    <w:p>
      <w:pPr>
        <w:spacing w:before="280" w:after="40"/>
      </w:pPr>
      <w:r>
        <w:rPr>
          <w:b/>
          <w:i w:val="0"/>
          <w:color w:val="2F3F9E"/>
          <w:sz w:val="26"/>
        </w:rPr>
        <w:t>Co říká specifikace</w:t>
      </w:r>
    </w:p>
    <w:p>
      <w:pPr>
        <w:spacing w:before="40" w:after="120"/>
      </w:pPr>
      <w:r>
        <w:rPr>
          <w:b w:val="0"/>
          <w:i w:val="0"/>
          <w:color w:val="646B82"/>
          <w:sz w:val="18"/>
        </w:rPr>
        <w:t>Všechny požadavky tohoto MIM ze specifikace MIMs Plus 9.0. Specifikace existuje jen v angličtině: české znění je neoficiální překlad autora brožury, závazný je anglický originál pod ním.</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Všechny entity ve zdrojích dat jsou popsány konzistentními datovými modely, aby byly aplikace a systémy interoperabilní</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Datové modely použité pro všechny entity v kterémkoli zdroji dat musí být výslovně uvedené. Musí být dobře zdokumentované a mít popisná metadata, v nichž jsou použité pojmy sémanticky jednoznačné. U atributů týkajících se měrných jednotek, formátů času apod. musí být použité jednotky, formáty apod. výslovně uvedené. Datové modely mají být katalogizovány, aby je bylo možné snadno najít.</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Použité datové modely musí (vždy, když je to možné) vycházet z obecně uznávaných standardizovaných datových modelů uvedených ve specifikaci.</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Pokud není možné použít existující standardizované datové modely, je třeba usilovat o rozšíření těch existujících standardizovaných datových modelů, které jsou nejbližší, nebo definovat nové, a to podle osvědčených postupů a konvencí komunity nebo organizace, která datové modely definuje.</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Použité datové modely musí podporovat výměnu dat uplatněním příslušných požadavků MIMs o přístupu k datům a propojení dat.</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Různé datové modely téže entity používané ve společném ekosystému sdílení dat mají být snadno transformovatelné do společného datového modelu</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Pro každý datový ekosystém má být vytvořen společný datový model každé klíčové entity. Tento společný model má obsahovat všechna pole z různých datových modelů dané entity, které se v ekosystému používají. Každý z těchto datových modelů pak lze transformovat do společného datového modelu.</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Data i jejich metadata lze sdílet v otevřených, standardizovaných přenosových formátech, aby je různé nástroje a implementace vyměňovaly a interpretovaly konzistentně</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Každý použitý datový model musí mít alespoň jeden definovaný strojově čitelný přenosový formát („serializaci“), který je otevřený, veřejně dostupný a nezávislý na implementaci.</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Dokumentace přenosového formátu má postačovat k vytvoření neproprietární aplikace nebo interpretu, který dokáže zrekonstruovat všechna data uložená v tomto formátu.</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Pokud se pro tentýž datový model podporuje více přenosových formátů, musí reprezentovat tentýž informační obsah konzistentně a bez ztráty významu.</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Reprezentace má podporovat validaci pomocí veřejně publikovaných schémat, gramatik nebo rovnocenných strojově čitelných omezení, pokud pro zvolený formát takové validační mechanismy existují.</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Je-li to užitečné, má být možné vytvářet pro datový model „aplikační profily“, aby šlo přidat nebo upřesnit atributy specifické pro případ užití beze změny základního datového modelu</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Aplikační profily, které rozšiřují datový model, nemají ovlivnit již existující model a jeho uživatele.</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Specializace nebo rozšíření zavedená v aplikačním profilu modelu mají být dobře zdokumentována, odděleně od základního datového modelu.</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Celé znění specifikace: </w:t>
      </w:r>
      <w:hyperlink r:id="rId15">
        <w:r>
          <w:rPr>
            <w:color w:val="2F3F9E"/>
            <w:u w:val="single"/>
            <w:sz w:val="18"/>
          </w:rPr>
          <w:t>https://mims.oascities.org/representing-data</w:t>
        </w:r>
      </w:hyperlink>
    </w:p>
    <w:p>
      <w:r>
        <w:br w:type="page"/>
      </w:r>
    </w:p>
    <w:p>
      <w:pPr>
        <w:spacing w:before="120" w:after="40"/>
      </w:pPr>
      <w:r>
        <w:rPr>
          <w:b/>
          <w:i w:val="0"/>
          <w:color w:val="2F3F9E"/>
          <w:sz w:val="36"/>
        </w:rPr>
        <w:t>MIM3 · Umíme sdílet za jasných podmínek?</w:t>
      </w:r>
    </w:p>
    <w:p>
      <w:pPr>
        <w:spacing w:before="40" w:after="40"/>
      </w:pPr>
      <w:r>
        <w:rPr>
          <w:b w:val="0"/>
          <w:i w:val="0"/>
          <w:color w:val="646B82"/>
          <w:sz w:val="20"/>
        </w:rPr>
        <w:t xml:space="preserve">Výměna dat   </w:t>
      </w:r>
      <w:hyperlink r:id="rId16">
        <w:r>
          <w:rPr>
            <w:color w:val="2F3F9E"/>
            <w:u w:val="single"/>
            <w:sz w:val="17.0"/>
          </w:rPr>
          <w:t>mims.oascities.org/exchanging-data</w:t>
        </w:r>
      </w:hyperlink>
    </w:p>
    <w:p>
      <w:pPr>
        <w:spacing w:before="120" w:after="200"/>
      </w:pPr>
      <w:r>
        <w:rPr>
          <w:b w:val="0"/>
          <w:i w:val="0"/>
          <w:sz w:val="20"/>
        </w:rPr>
        <w:t>Ne všechna městská data lze jednoduše zveřejnit. Některá jsou komerční, jiná citlivá. MIM3 je o tom, jak je přesto sdílet bezpečně: katalog, ve kterém se dá hledat, licence ze šablon místo právního textu na míru a pravidla, která si každý může přečíst. Specifikace formuluje téměř celý MIM3 jako doporučení (viz s. 3).</w:t>
      </w:r>
    </w:p>
    <w:p>
      <w:pPr>
        <w:spacing w:before="40" w:after="20"/>
      </w:pPr>
      <w:r>
        <w:rPr>
          <w:b/>
          <w:i w:val="0"/>
          <w:color w:val="2F3F9E"/>
          <w:sz w:val="22"/>
        </w:rPr>
        <w:t xml:space="preserve">☐  </w:t>
      </w:r>
      <w:r>
        <w:rPr>
          <w:b/>
          <w:i w:val="0"/>
          <w:color w:val="2F3F9E"/>
          <w:sz w:val="20"/>
        </w:rPr>
        <w:t xml:space="preserve">3.1  </w:t>
      </w:r>
      <w:r>
        <w:rPr>
          <w:b/>
          <w:i w:val="0"/>
          <w:sz w:val="20"/>
        </w:rPr>
        <w:t>Každá datová sada, kterou systém poskytuje, musí být popsaná standardními metadaty (např. DCAT-AP) v katalogu, aby ji ostatní našli.</w:t>
      </w:r>
    </w:p>
    <w:p>
      <w:pPr>
        <w:spacing w:before="40" w:after="140"/>
      </w:pPr>
      <w:r>
        <w:rPr>
          <w:b w:val="0"/>
          <w:i/>
          <w:color w:val="646B82"/>
          <w:sz w:val="18"/>
        </w:rPr>
        <w:t xml:space="preserve">Data, která nikdo nenajde, nikdo nepoužije.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Podmínky a licence použití musí vycházet ze zavedených šablon (otevřené licence, standardní smlouvy o sdílení dat), ne ze zvláštního právního textu pro každou datovou sadu.</w:t>
      </w:r>
    </w:p>
    <w:p>
      <w:pPr>
        <w:spacing w:before="40" w:after="140"/>
      </w:pPr>
      <w:r>
        <w:rPr>
          <w:b w:val="0"/>
          <w:i/>
          <w:color w:val="646B82"/>
          <w:sz w:val="18"/>
        </w:rPr>
        <w:t xml:space="preserve">Šablony šetří čas; právní oddělení nemusí řešit každou datovou sadu zvlášť.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Zadavatel musí mít možnost sám určit, kdo má přístup ke kterým datům a za jakých podmínek, a toto nastavení měnit bez součinnosti dodavatele.</w:t>
      </w:r>
    </w:p>
    <w:p>
      <w:pPr>
        <w:spacing w:before="40" w:after="140"/>
      </w:pPr>
      <w:r>
        <w:rPr>
          <w:b w:val="0"/>
          <w:i/>
          <w:color w:val="646B82"/>
          <w:sz w:val="18"/>
        </w:rPr>
        <w:t xml:space="preserve">Správa dat zůstává na úřadě.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PROČ NA TOM ZÁLEŽÍ</w:t>
            </w:r>
          </w:p>
          <w:p>
            <w:pPr>
              <w:spacing w:before="20" w:after="60"/>
            </w:pPr>
            <w:r>
              <w:rPr>
                <w:b/>
                <w:i w:val="0"/>
                <w:color w:val="2F3F9E"/>
                <w:sz w:val="18"/>
              </w:rPr>
              <w:t xml:space="preserve">•  </w:t>
            </w:r>
            <w:r>
              <w:rPr>
                <w:b w:val="0"/>
                <w:i w:val="0"/>
                <w:sz w:val="18"/>
              </w:rPr>
              <w:t>Místní firmy a výzkumníci staví na městských datech; hodnota zůstává v regionu.</w:t>
            </w:r>
          </w:p>
          <w:p>
            <w:pPr>
              <w:spacing w:before="20" w:after="60"/>
            </w:pPr>
            <w:r>
              <w:rPr>
                <w:b/>
                <w:i w:val="0"/>
                <w:color w:val="2F3F9E"/>
                <w:sz w:val="18"/>
              </w:rPr>
              <w:t xml:space="preserve">•  </w:t>
            </w:r>
            <w:r>
              <w:rPr>
                <w:b w:val="0"/>
                <w:i w:val="0"/>
                <w:sz w:val="18"/>
              </w:rPr>
              <w:t>Citlivá data se sdílejí přesně s těmi správnými partnery, ne se všemi či s nikým.</w:t>
            </w:r>
          </w:p>
          <w:p>
            <w:pPr>
              <w:spacing w:before="20" w:after="60"/>
            </w:pPr>
            <w:r>
              <w:rPr>
                <w:b/>
                <w:i w:val="0"/>
                <w:color w:val="2F3F9E"/>
                <w:sz w:val="18"/>
              </w:rPr>
              <w:t xml:space="preserve">•  </w:t>
            </w:r>
            <w:r>
              <w:rPr>
                <w:b w:val="0"/>
                <w:i w:val="0"/>
                <w:sz w:val="18"/>
              </w:rPr>
              <w:t>Jeden soubor pravidel nahradí množství jednotlivých smluv o sdílení dat.</w:t>
            </w:r>
          </w:p>
        </w:tc>
        <w:tc>
          <w:tcPr>
            <w:tcW w:type="dxa" w:w="4986"/>
            <w:shd w:val="clear" w:fill="FBEEEE"/>
          </w:tcPr>
          <w:p>
            <w:pPr>
              <w:spacing w:before="20" w:after="60"/>
            </w:pPr>
            <w:r>
              <w:rPr>
                <w:b/>
                <w:i w:val="0"/>
                <w:color w:val="A02020"/>
                <w:sz w:val="18"/>
              </w:rPr>
              <w:t>VAROVNÉ SIGNÁLY</w:t>
            </w:r>
          </w:p>
          <w:p>
            <w:pPr>
              <w:spacing w:before="20" w:after="60"/>
            </w:pPr>
            <w:r>
              <w:rPr>
                <w:b/>
                <w:i w:val="0"/>
                <w:color w:val="A02020"/>
                <w:sz w:val="18"/>
              </w:rPr>
              <w:t xml:space="preserve">•  </w:t>
            </w:r>
            <w:r>
              <w:rPr>
                <w:b w:val="0"/>
                <w:i w:val="0"/>
                <w:sz w:val="18"/>
              </w:rPr>
              <w:t>Dodavatel si nárokuje práva na data města (viz klauzuli „Práva k datům“).</w:t>
            </w:r>
          </w:p>
          <w:p>
            <w:pPr>
              <w:spacing w:before="20" w:after="60"/>
            </w:pPr>
            <w:r>
              <w:rPr>
                <w:b/>
                <w:i w:val="0"/>
                <w:color w:val="A02020"/>
                <w:sz w:val="18"/>
              </w:rPr>
              <w:t xml:space="preserve">•  </w:t>
            </w:r>
            <w:r>
              <w:rPr>
                <w:b w:val="0"/>
                <w:i w:val="0"/>
                <w:sz w:val="18"/>
              </w:rPr>
              <w:t>Sdílení s třetí stranou vyžaduje souhlas nebo poplatek dodavateli.</w:t>
            </w:r>
          </w:p>
        </w:tc>
      </w:tr>
    </w:tbl>
    <w:p>
      <w:pPr>
        <w:spacing w:before="280" w:after="40"/>
      </w:pPr>
      <w:r>
        <w:rPr>
          <w:b/>
          <w:i w:val="0"/>
          <w:color w:val="2F3F9E"/>
          <w:sz w:val="26"/>
        </w:rPr>
        <w:t>Co říká specifikace</w:t>
      </w:r>
    </w:p>
    <w:p>
      <w:pPr>
        <w:spacing w:before="40" w:after="120"/>
      </w:pPr>
      <w:r>
        <w:rPr>
          <w:b w:val="0"/>
          <w:i w:val="0"/>
          <w:color w:val="646B82"/>
          <w:sz w:val="18"/>
        </w:rPr>
        <w:t>Všechny požadavky tohoto MIM ze specifikace MIMs Plus 9.0. Specifikace existuje jen v angličtině: české znění je neoficiální překlad autora brožury, závazný je anglický originál pod ním.</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Lze definovat pravidla správy ekosystému sdílení dat</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Orchestrátor datového ekosystému má mít možnost definovat model správy (např. soubor pravidel), který určuje pravidla členství, role, odpovědnosti a povinnosti účastníků ekosystému a celkové principy výměny dat mezi nimi.</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Členové, kteří se účastní datového ekosystému, mají znát jeho model správy a všechny jeho změny.</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Model správy má být snadno srozumitelný pro všechny účastníky ekosystému.</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Lze definovat podmínky sdílení dat</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Poskytovatelé dat mohou svobodně určit podmínky, za kterých chtějí svá data vyměňovat. (Poznámka: Před sdílením datových aktiv si mají poskytovatelé ověřit, že mají odpovídající svolení od vlastníků dat.)</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Podmínky výměny dat mají být popsány jasně a jednoznačně, aby byly pro uživatele dat snadno srozumitelné.</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Podmínky výměny dat mají být vyjádřeny prostřednictvím datových licencí nebo smluv o sdílení dat založených na dobře definovaných šablonách nebo standardech.</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Podmínky mají být v souladu s celkovým modelem správy datového ekosystému a nesmí mu odporovat. (Poznámka: Poskytovatel dat se může rozhodnout, že se datového ekosystému nezúčastní, pokud je jeho model správy příliš restriktivní nebo příliš benevolentní.)</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Lze ověřit dodržování podmínek sdílení dat</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Orchestrátor datového ekosystému musí být schopen ověřit, zda účastníci dodržují příslušný model správy.</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Poskytovatelé dat mají mít možnost ověřit, že uživatel dat je používá v souladu s předem dohodnutými podmínkami.</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Uživatelé dat mají mít možnost ověřit, že poskytovatel dodává data v souladu s předem dohodnutými podmínkami.</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Dostupná datová aktiva lze vyhledat</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Uživatelé dat mají mít možnost zjistit, jaká data jsou v ekosystému sdílení dostupná, i bez předchozí znalosti o nich.</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Datová aktiva mají být přiměřeně popsána metadaty, aby se uživatelé dat mohli spolehlivě rozhodnout o jejich dalším zamýšleném použití.</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Metadata popisující datová aktiva mají vycházet z dobře definovaných, snadno srozumitelných formátů čitelných pro lidi i stroje.</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Účastníky ekosystému lze vyhledat</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Účastníci ekosystému (např. uživatelé a poskytovatelé dat) mají mít možnost se v ekosystému sdílení dat navzájem vyhledat.</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O každém účastníkovi ekosystému mají být dostupná dostatečná metadata k posouzení jeho důvěryhodnosti pro výměnu dat.</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Poskytovatelé dat mají mít možnost spolehlivě identifikovat uživatele, kteří chtějí přistupovat k jejich datovým aktivům, a před udělením přístupu ověřit jejich metadata.</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Uživatelé dat mají mít možnost identifikovat poskytovatele, kteří v datovém ekosystému sdílejí data, dříve než k těmto datům přistoupí nebo je použijí.</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Účastníci ekosystému se mohou rozhodnout zůstat anonymní, pokud to model správy ekosystému sdílení dat umožňuje. V takovém případě lze požadavky RC5.1 až RC5.4 vynechat.</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Výměnu dat lze dohodnout</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Uživatelé a poskytovatelé dat mají mít možnost dohodnout se na výměně dat a na podmínkách, které se k ní vážou (např. přijetím podmínek, právně závazným podpisem smlouvy nebo vyjednáváním).</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Uživatelé a poskytovatelé dat mají mít možnost ukončit předem dohodnutou výměnu dat v souladu s podmínkami, které se k ní vážou.</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Je-li to možné, lze pro sjednání a ukončení výměny dat poskytnout elektronické prostředky.</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Lze požádat o nová data, která zatím nejsou dostupná</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Uživatelé dat mají mít možnost vyjádřit zájem o datová aktiva, která v ekosystému sdílení dat zatím nejsou dostupná.</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Poskytovatelé dat mají mít možnost přijímat žádosti uživatelů o nová datová aktiva.</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Celé znění specifikace: </w:t>
      </w:r>
      <w:hyperlink r:id="rId16">
        <w:r>
          <w:rPr>
            <w:color w:val="2F3F9E"/>
            <w:u w:val="single"/>
            <w:sz w:val="18"/>
          </w:rPr>
          <w:t>https://mims.oascities.org/exchanging-data</w:t>
        </w:r>
      </w:hyperlink>
    </w:p>
    <w:p>
      <w:r>
        <w:br w:type="page"/>
      </w:r>
    </w:p>
    <w:p>
      <w:pPr>
        <w:spacing w:before="120" w:after="40"/>
      </w:pPr>
      <w:r>
        <w:rPr>
          <w:b/>
          <w:i w:val="0"/>
          <w:color w:val="2F3F9E"/>
          <w:sz w:val="36"/>
        </w:rPr>
        <w:t>MIM6 · Jsou naše data v bezpečí?</w:t>
      </w:r>
    </w:p>
    <w:p>
      <w:pPr>
        <w:spacing w:before="40" w:after="40"/>
      </w:pPr>
      <w:r>
        <w:rPr>
          <w:b w:val="0"/>
          <w:i w:val="0"/>
          <w:color w:val="646B82"/>
          <w:sz w:val="20"/>
        </w:rPr>
        <w:t xml:space="preserve">Zabezpečení dat   </w:t>
      </w:r>
      <w:hyperlink r:id="rId17">
        <w:r>
          <w:rPr>
            <w:color w:val="2F3F9E"/>
            <w:u w:val="single"/>
            <w:sz w:val="17.0"/>
          </w:rPr>
          <w:t>mims.oascities.org/securing-data</w:t>
        </w:r>
      </w:hyperlink>
    </w:p>
    <w:p>
      <w:pPr>
        <w:spacing w:before="120" w:after="200"/>
      </w:pPr>
      <w:r>
        <w:rPr>
          <w:b w:val="0"/>
          <w:i w:val="0"/>
          <w:sz w:val="20"/>
        </w:rPr>
        <w:t>Chytrá města jsou terčem útoků. MIM6 drží rozsah záměrně úzký a praktický: šifrovat data při přenosu, používat standardní přihlašování místo proprietárního, řídit a zaznamenávat, kdo k čemu přistupuje. Nic z toho není exotika. Všechno z toho musí být ve smlouvě.</w:t>
      </w:r>
    </w:p>
    <w:p>
      <w:pPr>
        <w:spacing w:before="40" w:after="20"/>
      </w:pPr>
      <w:r>
        <w:rPr>
          <w:b/>
          <w:i w:val="0"/>
          <w:color w:val="2F3F9E"/>
          <w:sz w:val="22"/>
        </w:rPr>
        <w:t xml:space="preserve">☐  </w:t>
      </w:r>
      <w:r>
        <w:rPr>
          <w:b/>
          <w:i w:val="0"/>
          <w:color w:val="2F3F9E"/>
          <w:sz w:val="20"/>
        </w:rPr>
        <w:t xml:space="preserve">6.1  </w:t>
      </w:r>
      <w:r>
        <w:rPr>
          <w:b/>
          <w:i w:val="0"/>
          <w:sz w:val="20"/>
        </w:rPr>
        <w:t>Veškerý přenos dat musí být šifrovaný (TLS 1.3, resp. aktuální osvědčené postupy).</w:t>
      </w:r>
    </w:p>
    <w:p>
      <w:pPr>
        <w:spacing w:before="40" w:after="140"/>
      </w:pPr>
      <w:r>
        <w:rPr>
          <w:b w:val="0"/>
          <w:i/>
          <w:color w:val="646B82"/>
          <w:sz w:val="18"/>
        </w:rPr>
        <w:t xml:space="preserve">Základní hygiena; vyžaduje ji i směrnice NIS2 tam, kde se na vás vztahuje.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Přihlašování osob i systémů musí používat otevřené standardy OAuth 2.0 / OpenID Connect a musí umožňovat napojení na stávající správu identit města.</w:t>
      </w:r>
    </w:p>
    <w:p>
      <w:pPr>
        <w:spacing w:before="40" w:after="140"/>
      </w:pPr>
      <w:r>
        <w:rPr>
          <w:b w:val="0"/>
          <w:i/>
          <w:color w:val="646B82"/>
          <w:sz w:val="18"/>
        </w:rPr>
        <w:t xml:space="preserve">Jeden účet na zaměstnance, ne jeden na každý produkt dodavatele; při odchodu ztrácí přístup všude naráz.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Přístupová práva musí být založená na rolích, kontrolovatelná a odebíratelná; přístupy i zásahy administrátorů se musí zaznamenávat (logovat).</w:t>
      </w:r>
    </w:p>
    <w:p>
      <w:pPr>
        <w:spacing w:before="40" w:after="140"/>
      </w:pPr>
      <w:r>
        <w:rPr>
          <w:b w:val="0"/>
          <w:i/>
          <w:color w:val="646B82"/>
          <w:sz w:val="18"/>
        </w:rPr>
        <w:t xml:space="preserve">Audit a řešení incidentů jsou možné. Logování je ISO/IEC 27001:2022, příloha A, opatření 8.15, které MIM6 uvádí mezi svými předpoklady.   </w:t>
      </w:r>
      <w:r>
        <w:rPr>
          <w:b w:val="0"/>
          <w:i w:val="0"/>
          <w:color w:val="0B7485"/>
          <w:sz w:val="16"/>
        </w:rPr>
        <w:t>→ MIM6 R1.1, R1.3, 8.15</w:t>
      </w:r>
    </w:p>
    <w:p>
      <w:pPr>
        <w:spacing w:before="40" w:after="0"/>
      </w:pPr>
      <w:r>
        <w:rPr>
          <w:b/>
          <w:i w:val="0"/>
          <w:color w:val="0B7485"/>
          <w:sz w:val="16"/>
        </w:rPr>
        <w:t>PATŘÍ DO PODMÍNEK ÚČASTI, NE DO POPISU PŘEDMĚTU ZAKÁZKY</w:t>
      </w:r>
    </w:p>
    <w:p>
      <w:pPr>
        <w:spacing w:before="40" w:after="20"/>
      </w:pPr>
      <w:r>
        <w:rPr>
          <w:b/>
          <w:i w:val="0"/>
          <w:color w:val="2F3F9E"/>
          <w:sz w:val="22"/>
        </w:rPr>
        <w:t xml:space="preserve">☐  </w:t>
      </w:r>
      <w:r>
        <w:rPr>
          <w:b/>
          <w:i w:val="0"/>
          <w:color w:val="2F3F9E"/>
          <w:sz w:val="20"/>
        </w:rPr>
        <w:t xml:space="preserve">6.4  </w:t>
      </w:r>
      <w:r>
        <w:rPr>
          <w:b/>
          <w:i w:val="0"/>
          <w:sz w:val="20"/>
        </w:rPr>
        <w:t>Dodavatel doloží soulad s ISO/IEC 27001:2022 (nebo ekvivalentem) pro provozovanou službu.</w:t>
      </w:r>
    </w:p>
    <w:p>
      <w:pPr>
        <w:spacing w:before="40" w:after="140"/>
      </w:pPr>
      <w:r>
        <w:rPr>
          <w:b w:val="0"/>
          <w:i/>
          <w:color w:val="646B82"/>
          <w:sz w:val="18"/>
        </w:rPr>
        <w:t xml:space="preserve">Bezpečnost je proces, ne položka odškrtnutá při převzetí. Specifikace cituje opatření ISO/IEC 27001, ne certifikát.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PROČ NA TOM ZÁLEŽÍ</w:t>
            </w:r>
          </w:p>
          <w:p>
            <w:pPr>
              <w:spacing w:before="20" w:after="60"/>
            </w:pPr>
            <w:r>
              <w:rPr>
                <w:b/>
                <w:i w:val="0"/>
                <w:color w:val="2F3F9E"/>
                <w:sz w:val="18"/>
              </w:rPr>
              <w:t xml:space="preserve">•  </w:t>
            </w:r>
            <w:r>
              <w:rPr>
                <w:b w:val="0"/>
                <w:i w:val="0"/>
                <w:sz w:val="18"/>
              </w:rPr>
              <w:t>Průnik do jednoho systému neotevře všechny ostatní.</w:t>
            </w:r>
          </w:p>
          <w:p>
            <w:pPr>
              <w:spacing w:before="20" w:after="60"/>
            </w:pPr>
            <w:r>
              <w:rPr>
                <w:b/>
                <w:i w:val="0"/>
                <w:color w:val="2F3F9E"/>
                <w:sz w:val="18"/>
              </w:rPr>
              <w:t xml:space="preserve">•  </w:t>
            </w:r>
            <w:r>
              <w:rPr>
                <w:b w:val="0"/>
                <w:i w:val="0"/>
                <w:sz w:val="18"/>
              </w:rPr>
              <w:t>Tam, kde se na vás NIS2 vztahuje, je soulad s ní a s národní legislativou o kybernetické bezpečnosti měřitelně snazší.</w:t>
            </w:r>
          </w:p>
          <w:p>
            <w:pPr>
              <w:spacing w:before="20" w:after="60"/>
            </w:pPr>
            <w:r>
              <w:rPr>
                <w:b/>
                <w:i w:val="0"/>
                <w:color w:val="2F3F9E"/>
                <w:sz w:val="18"/>
              </w:rPr>
              <w:t xml:space="preserve">•  </w:t>
            </w:r>
            <w:r>
              <w:rPr>
                <w:b w:val="0"/>
                <w:i w:val="0"/>
                <w:sz w:val="18"/>
              </w:rPr>
              <w:t>Při incidentu záznamy umožní zjistit, co se stalo a kdo jednal.</w:t>
            </w:r>
          </w:p>
        </w:tc>
        <w:tc>
          <w:tcPr>
            <w:tcW w:type="dxa" w:w="4986"/>
            <w:shd w:val="clear" w:fill="FBEEEE"/>
          </w:tcPr>
          <w:p>
            <w:pPr>
              <w:spacing w:before="20" w:after="60"/>
            </w:pPr>
            <w:r>
              <w:rPr>
                <w:b/>
                <w:i w:val="0"/>
                <w:color w:val="A02020"/>
                <w:sz w:val="18"/>
              </w:rPr>
              <w:t>VAROVNÉ SIGNÁLY</w:t>
            </w:r>
          </w:p>
          <w:p>
            <w:pPr>
              <w:spacing w:before="20" w:after="60"/>
            </w:pPr>
            <w:r>
              <w:rPr>
                <w:b/>
                <w:i w:val="0"/>
                <w:color w:val="A02020"/>
                <w:sz w:val="18"/>
              </w:rPr>
              <w:t xml:space="preserve">•  </w:t>
            </w:r>
            <w:r>
              <w:rPr>
                <w:b w:val="0"/>
                <w:i w:val="0"/>
                <w:sz w:val="18"/>
              </w:rPr>
              <w:t>Jen proprietární přihlašování.</w:t>
            </w:r>
          </w:p>
          <w:p>
            <w:pPr>
              <w:spacing w:before="20" w:after="60"/>
            </w:pPr>
            <w:r>
              <w:rPr>
                <w:b/>
                <w:i w:val="0"/>
                <w:color w:val="A02020"/>
                <w:sz w:val="18"/>
              </w:rPr>
              <w:t xml:space="preserve">•  </w:t>
            </w:r>
            <w:r>
              <w:rPr>
                <w:b w:val="0"/>
                <w:i w:val="0"/>
                <w:sz w:val="18"/>
              </w:rPr>
              <w:t>„Logy na vyžádání.“</w:t>
            </w:r>
          </w:p>
          <w:p>
            <w:pPr>
              <w:spacing w:before="20" w:after="60"/>
            </w:pPr>
            <w:r>
              <w:rPr>
                <w:b/>
                <w:i w:val="0"/>
                <w:color w:val="A02020"/>
                <w:sz w:val="18"/>
              </w:rPr>
              <w:t xml:space="preserve">•  </w:t>
            </w:r>
            <w:r>
              <w:rPr>
                <w:b w:val="0"/>
                <w:i w:val="0"/>
                <w:sz w:val="18"/>
              </w:rPr>
              <w:t>Sdílené administrátorské účty.</w:t>
            </w:r>
          </w:p>
        </w:tc>
      </w:tr>
    </w:tbl>
    <w:p>
      <w:pPr>
        <w:spacing w:before="280" w:after="40"/>
      </w:pPr>
      <w:r>
        <w:rPr>
          <w:b/>
          <w:i w:val="0"/>
          <w:color w:val="2F3F9E"/>
          <w:sz w:val="26"/>
        </w:rPr>
        <w:t>Co říká specifikace</w:t>
      </w:r>
    </w:p>
    <w:p>
      <w:pPr>
        <w:spacing w:before="40" w:after="120"/>
      </w:pPr>
      <w:r>
        <w:rPr>
          <w:b w:val="0"/>
          <w:i w:val="0"/>
          <w:color w:val="646B82"/>
          <w:sz w:val="18"/>
        </w:rPr>
        <w:t>Všechny požadavky tohoto MIM ze specifikace MIMs Plus 9.0. Specifikace existuje jen v angličtině: české znění je neoficiální překlad autora brožury, závazný je anglický originál pod ním.</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Data jsou přístupná jen uživatelům, kteří k nim mají mít přístup</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Pravidla řízení fyzického a logického přístupu k informacím a dalším souvisejícím aktivům MUSÍ být stanovena a zavedena na základě obchodních požadavků a požadavků informační bezpečnosti. (ISO 27001 5.15 Řízení přístupu)</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Přidělování a správa autentizačních informací MUSÍ být řízeny procesem správy včetně poučení pracovníků o správném zacházení s autentizačními informacemi. (ISO 27001 5.17: Autentizační informace)</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Přístupová práva k informacím a dalším souvisejícím aktivům MUSÍ být přidělována, přezkoumávána, upravována a odebírána v souladu s tematickou politikou organizace a pravidly řízení přístupu. (ISO 27001 5.18: Přístupová práva)</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Data, ke kterým uživatelé přistupují, nebyla pozměněna</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Pravidla účinného používání kryptografie včetně správy kryptografických klíčů MUSÍ být definována a zavedena. (ISO 27001 8.24 Používání kryptografie)</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Data, ke kterým uživatelé přistupují, pocházejí z ověřeného zdroje</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Technologie a postupy bezpečné autentizace musí být zavedeny na základě omezení přístupu k informacím a příslušné politiky řízení přístupu. (ISO 27001 8.5 Bezpečná autentizace)</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Kandidátní mechanismy</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Protokol Transport Layer Security (TLS), verze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Autorizační rámec OAuth 2.0.</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identitní vrstva pro autentizaci nad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pro vydávání a předkládání ověřitelných pověření.</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Předpoklady a navazující požadavky (podle přílohy A normy ISO 27001): opatření, na které se brožura odvolává</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Logování. Záznamy (logy) o činnostech, výjimkách, chybách a dalších relevantních událostech musí být vytvářeny, uchovávány, chráněny a analyzovány.</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Celé znění specifikace: </w:t>
      </w:r>
      <w:hyperlink r:id="rId17">
        <w:r>
          <w:rPr>
            <w:color w:val="2F3F9E"/>
            <w:u w:val="single"/>
            <w:sz w:val="18"/>
          </w:rPr>
          <w:t>https://mims.oascities.org/securing-data</w:t>
        </w:r>
      </w:hyperlink>
    </w:p>
    <w:p>
      <w:r>
        <w:br w:type="page"/>
      </w:r>
    </w:p>
    <w:p>
      <w:pPr>
        <w:spacing w:before="120" w:after="40"/>
      </w:pPr>
      <w:r>
        <w:rPr>
          <w:b/>
          <w:i w:val="0"/>
          <w:color w:val="2F3F9E"/>
          <w:sz w:val="36"/>
        </w:rPr>
        <w:t>MIM7 · Funguje to na mapě?</w:t>
      </w:r>
    </w:p>
    <w:p>
      <w:pPr>
        <w:spacing w:before="40" w:after="40"/>
      </w:pPr>
      <w:r>
        <w:rPr>
          <w:b w:val="0"/>
          <w:i w:val="0"/>
          <w:color w:val="646B82"/>
          <w:sz w:val="20"/>
        </w:rPr>
        <w:t xml:space="preserve">Geoprostorová data   </w:t>
      </w:r>
      <w:hyperlink r:id="rId18">
        <w:r>
          <w:rPr>
            <w:color w:val="2F3F9E"/>
            <w:u w:val="single"/>
            <w:sz w:val="17.0"/>
          </w:rPr>
          <w:t>mims.oascities.org/geospatial-data</w:t>
        </w:r>
      </w:hyperlink>
    </w:p>
    <w:p>
      <w:pPr>
        <w:spacing w:before="120" w:after="200"/>
      </w:pPr>
      <w:r>
        <w:rPr>
          <w:b w:val="0"/>
          <w:i w:val="0"/>
          <w:sz w:val="20"/>
        </w:rPr>
        <w:t>Téměř všechno, co město vlastní, má své místo. MIM7 zajistí, že to místo není jen obrázek: prostorová data tečou přes standardní rozhraní OGC, v otevřených formátech, s vždy uvedeným souřadnicovým systémem. Každá pořízená mapová vrstva je pak slučitelná s těmi, které už máte.</w:t>
      </w:r>
    </w:p>
    <w:p>
      <w:pPr>
        <w:spacing w:before="40" w:after="20"/>
      </w:pPr>
      <w:r>
        <w:rPr>
          <w:b/>
          <w:i w:val="0"/>
          <w:color w:val="2F3F9E"/>
          <w:sz w:val="22"/>
        </w:rPr>
        <w:t xml:space="preserve">☐  </w:t>
      </w:r>
      <w:r>
        <w:rPr>
          <w:b/>
          <w:i w:val="0"/>
          <w:color w:val="2F3F9E"/>
          <w:sz w:val="20"/>
        </w:rPr>
        <w:t xml:space="preserve">7.1  </w:t>
      </w:r>
      <w:r>
        <w:rPr>
          <w:b/>
          <w:i w:val="0"/>
          <w:sz w:val="20"/>
        </w:rPr>
        <w:t>Geoprostorová data musí být dostupná přes standardní rozhraní (OGC API Features, OGC SensorThings; WFS u starších systémů).</w:t>
      </w:r>
    </w:p>
    <w:p>
      <w:pPr>
        <w:spacing w:before="40" w:after="140"/>
      </w:pPr>
      <w:r>
        <w:rPr>
          <w:b w:val="0"/>
          <w:i/>
          <w:color w:val="646B82"/>
          <w:sz w:val="18"/>
        </w:rPr>
        <w:t xml:space="preserve">Přečte je každý GIS nástroj na trhu.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Geoprostorová data musí být v otevřených formátech (GeoJSON, CityJSON; GML/CityGML tam, kde to vyžadují předpisy).</w:t>
      </w:r>
    </w:p>
    <w:p>
      <w:pPr>
        <w:spacing w:before="40" w:after="140"/>
      </w:pPr>
      <w:r>
        <w:rPr>
          <w:b w:val="0"/>
          <w:i/>
          <w:color w:val="646B82"/>
          <w:sz w:val="18"/>
        </w:rPr>
        <w:t xml:space="preserve">Žádné licence na konvertory, žádné slepé uličky.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Souřadnicový systém musí být vždy uvedený (kód EPSG) a data musí být možné transformovat do společného souřadnicového systému.</w:t>
      </w:r>
    </w:p>
    <w:p>
      <w:pPr>
        <w:spacing w:before="40" w:after="140"/>
      </w:pPr>
      <w:r>
        <w:rPr>
          <w:b w:val="0"/>
          <w:i/>
          <w:color w:val="646B82"/>
          <w:sz w:val="18"/>
        </w:rPr>
        <w:t xml:space="preserve">Vrstvy z různých zdrojů se na mapě správně překrývají.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Prostorové objekty musí nést tytéž trvalé identifikátory jako v MIM1.</w:t>
      </w:r>
    </w:p>
    <w:p>
      <w:pPr>
        <w:spacing w:before="40" w:after="140"/>
      </w:pPr>
      <w:r>
        <w:rPr>
          <w:b w:val="0"/>
          <w:i/>
          <w:color w:val="646B82"/>
          <w:sz w:val="18"/>
        </w:rPr>
        <w:t xml:space="preserve">Bod na mapě a záznam v evidenci jsou tatáž věc.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PROČ NA TOM ZÁLEŽÍ</w:t>
            </w:r>
          </w:p>
          <w:p>
            <w:pPr>
              <w:spacing w:before="20" w:after="60"/>
            </w:pPr>
            <w:r>
              <w:rPr>
                <w:b/>
                <w:i w:val="0"/>
                <w:color w:val="2F3F9E"/>
                <w:sz w:val="18"/>
              </w:rPr>
              <w:t xml:space="preserve">•  </w:t>
            </w:r>
            <w:r>
              <w:rPr>
                <w:b w:val="0"/>
                <w:i w:val="0"/>
                <w:sz w:val="18"/>
              </w:rPr>
              <w:t>Jedna městská mapa místo deseti prohlížečů od dodavatelů.</w:t>
            </w:r>
          </w:p>
          <w:p>
            <w:pPr>
              <w:spacing w:before="20" w:after="60"/>
            </w:pPr>
            <w:r>
              <w:rPr>
                <w:b/>
                <w:i w:val="0"/>
                <w:color w:val="2F3F9E"/>
                <w:sz w:val="18"/>
              </w:rPr>
              <w:t xml:space="preserve">•  </w:t>
            </w:r>
            <w:r>
              <w:rPr>
                <w:b w:val="0"/>
                <w:i w:val="0"/>
                <w:sz w:val="18"/>
              </w:rPr>
              <w:t>Povinnosti podle směrnice INSPIRE a národních geoportálů jsou snazší, ne těžší.</w:t>
            </w:r>
          </w:p>
          <w:p>
            <w:pPr>
              <w:spacing w:before="20" w:after="60"/>
            </w:pPr>
            <w:r>
              <w:rPr>
                <w:b/>
                <w:i w:val="0"/>
                <w:color w:val="2F3F9E"/>
                <w:sz w:val="18"/>
              </w:rPr>
              <w:t xml:space="preserve">•  </w:t>
            </w:r>
            <w:r>
              <w:rPr>
                <w:b w:val="0"/>
                <w:i w:val="0"/>
                <w:sz w:val="18"/>
              </w:rPr>
              <w:t>3D a BIM data se později přidají do téhož obrazu.</w:t>
            </w:r>
          </w:p>
        </w:tc>
        <w:tc>
          <w:tcPr>
            <w:tcW w:type="dxa" w:w="4986"/>
            <w:shd w:val="clear" w:fill="FBEEEE"/>
          </w:tcPr>
          <w:p>
            <w:pPr>
              <w:spacing w:before="20" w:after="60"/>
            </w:pPr>
            <w:r>
              <w:rPr>
                <w:b/>
                <w:i w:val="0"/>
                <w:color w:val="A02020"/>
                <w:sz w:val="18"/>
              </w:rPr>
              <w:t>VAROVNÉ SIGNÁLY</w:t>
            </w:r>
          </w:p>
          <w:p>
            <w:pPr>
              <w:spacing w:before="20" w:after="60"/>
            </w:pPr>
            <w:r>
              <w:rPr>
                <w:b/>
                <w:i w:val="0"/>
                <w:color w:val="A02020"/>
                <w:sz w:val="18"/>
              </w:rPr>
              <w:t xml:space="preserve">•  </w:t>
            </w:r>
            <w:r>
              <w:rPr>
                <w:b w:val="0"/>
                <w:i w:val="0"/>
                <w:sz w:val="18"/>
              </w:rPr>
              <w:t>Mapová data jen v prohlížeči dodavatele.</w:t>
            </w:r>
          </w:p>
          <w:p>
            <w:pPr>
              <w:spacing w:before="20" w:after="60"/>
            </w:pPr>
            <w:r>
              <w:rPr>
                <w:b/>
                <w:i w:val="0"/>
                <w:color w:val="A02020"/>
                <w:sz w:val="18"/>
              </w:rPr>
              <w:t xml:space="preserve">•  </w:t>
            </w:r>
            <w:r>
              <w:rPr>
                <w:b w:val="0"/>
                <w:i w:val="0"/>
                <w:sz w:val="18"/>
              </w:rPr>
              <w:t>„Export jako PDF nebo snímek obrazovky.“</w:t>
            </w:r>
          </w:p>
        </w:tc>
      </w:tr>
    </w:tbl>
    <w:p>
      <w:pPr>
        <w:spacing w:before="280" w:after="40"/>
      </w:pPr>
      <w:r>
        <w:rPr>
          <w:b/>
          <w:i w:val="0"/>
          <w:color w:val="2F3F9E"/>
          <w:sz w:val="26"/>
        </w:rPr>
        <w:t>Co říká specifikace</w:t>
      </w:r>
    </w:p>
    <w:p>
      <w:pPr>
        <w:spacing w:before="40" w:after="120"/>
      </w:pPr>
      <w:r>
        <w:rPr>
          <w:b w:val="0"/>
          <w:i w:val="0"/>
          <w:color w:val="646B82"/>
          <w:sz w:val="18"/>
        </w:rPr>
        <w:t>Všechny požadavky tohoto MIM ze specifikace MIMs Plus 9.0. Specifikace existuje jen v angličtině: české znění je neoficiální překlad autora brožury, závazný je anglický originál pod ním.</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Města a komunity umí snadno přenášet geoprostorová data mezi interními a externími IT systémy (včetně IoT)</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Geoprostorová data musí být zpřístupněna přes webové rozhraní založené na standardech.</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Města a komunity umí integrovat 2D a 3D geoprostorová data z různých zdrojů, například geodata a informační modely budov, a interoperabilně je sdílet uvnitř i mezi sebou</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Geoprostorová data musí být kódována v otevřených standardech. Doporučuje se použít příslušné standardy OGC a BuildingSMART International.</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Města a komunity umí propojit geoprostorová data s dalšími daty, která doplňují informace o kontextu</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Všechny datové sady, které doplňují informace o kontextu pokrytém geoprostorovými daty, musí být v souladu s MIM1 a MIM2.</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Města a komunity mají konzistentní a trvalý způsob označování jednotlivých instancí všech prvků, věcí a entit ve zdrojích geoprostorových dat</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K identifikaci konkrétních instancí jakékoli entity v datových sadách se musí používat jedinečné a trvalé identifikátory. (Viz MIM1: Propojení dat.)</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Souřadnicové referenční systémy (CRS) použité při sdílení dat jsou snadno transformovatelné do společného CRS</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Souřadnicové referenční systémy (CRS) musí být v souladu se standardy a musí být uvedeno, který standard (např. EPSG:4326, EPSG:3857) se používá. Patří sem číslo EPSG nebo WGS spolu s informací o případných odchylkách vycházejících z národních systémů, jako je lotyšský LKS-92, aby bylo možné data transformovat do společného CRS. (Poznámka: V EU se pro geoprostorová data vyžadují metadata v souladu se směrnicí INSPIRE včetně metadat potřebných k popisu CRS.)</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Celé znění specifikace: </w:t>
      </w:r>
      <w:hyperlink r:id="rId18">
        <w:r>
          <w:rPr>
            <w:color w:val="2F3F9E"/>
            <w:u w:val="single"/>
            <w:sz w:val="18"/>
          </w:rPr>
          <w:t>https://mims.oascities.org/geospatial-data</w:t>
        </w:r>
      </w:hyperlink>
    </w:p>
    <w:p>
      <w:r>
        <w:br w:type="page"/>
      </w:r>
    </w:p>
    <w:p>
      <w:pPr>
        <w:spacing w:before="120" w:after="40"/>
      </w:pPr>
      <w:r>
        <w:rPr>
          <w:b/>
          <w:i w:val="0"/>
          <w:color w:val="2F3F9E"/>
          <w:sz w:val="36"/>
        </w:rPr>
        <w:t>MIM8 · Může naše dvojče růst?</w:t>
      </w:r>
    </w:p>
    <w:p>
      <w:pPr>
        <w:spacing w:before="40" w:after="40"/>
      </w:pPr>
      <w:r>
        <w:rPr>
          <w:b w:val="0"/>
          <w:i w:val="0"/>
          <w:color w:val="646B82"/>
          <w:sz w:val="20"/>
        </w:rPr>
        <w:t xml:space="preserve">Lokální digitální dvojčata   </w:t>
      </w:r>
      <w:hyperlink r:id="rId19">
        <w:r>
          <w:rPr>
            <w:color w:val="2F3F9E"/>
            <w:u w:val="single"/>
            <w:sz w:val="17.0"/>
          </w:rPr>
          <w:t>mims.oascities.org/local-digital-twins</w:t>
        </w:r>
      </w:hyperlink>
    </w:p>
    <w:p>
      <w:pPr>
        <w:spacing w:before="120" w:after="200"/>
      </w:pPr>
      <w:r>
        <w:rPr>
          <w:b w:val="0"/>
          <w:i w:val="0"/>
          <w:sz w:val="20"/>
        </w:rPr>
        <w:t>Digitální dvojče je dlouhodobá investice: data, 3D modely, simulace, rozhodnutí. MIM8 tuto investici chrání. Data a modely dvojčete zůstávají přístupné a zdokumentované, výsledky se dají zopakovat a komponenty z jednoho projektu poslouží dalšímu. Tuto stranu použijte při nákupu platforem dvojčat, simulačních modelů či 3D nástrojů.</w:t>
      </w:r>
    </w:p>
    <w:p>
      <w:pPr>
        <w:spacing w:before="40" w:after="20"/>
      </w:pPr>
      <w:r>
        <w:rPr>
          <w:b/>
          <w:i w:val="0"/>
          <w:color w:val="2F3F9E"/>
          <w:sz w:val="22"/>
        </w:rPr>
        <w:t xml:space="preserve">☐  </w:t>
      </w:r>
      <w:r>
        <w:rPr>
          <w:b/>
          <w:i w:val="0"/>
          <w:color w:val="2F3F9E"/>
          <w:sz w:val="20"/>
        </w:rPr>
        <w:t xml:space="preserve">8.1  </w:t>
      </w:r>
      <w:r>
        <w:rPr>
          <w:b/>
          <w:i w:val="0"/>
          <w:sz w:val="20"/>
        </w:rPr>
        <w:t>Datové sady, vstupy modelů i výstupy simulací musí být dostupné přes API (podle MIM0), ne uzavřené v platformě dvojčete.</w:t>
      </w:r>
    </w:p>
    <w:p>
      <w:pPr>
        <w:spacing w:before="40" w:after="140"/>
      </w:pPr>
      <w:r>
        <w:rPr>
          <w:b w:val="0"/>
          <w:i/>
          <w:color w:val="646B82"/>
          <w:sz w:val="18"/>
        </w:rPr>
        <w:t xml:space="preserve">Výsledky slouží jako podklad pro zprávy a přehledy a využijí se v dalším projektu.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Modely musí být zdokumentované (metoda, parametry, vstupy a výstupy) a volatelné přes zdokumentované rozhraní.</w:t>
      </w:r>
    </w:p>
    <w:p>
      <w:pPr>
        <w:spacing w:before="40" w:after="140"/>
      </w:pPr>
      <w:r>
        <w:rPr>
          <w:b w:val="0"/>
          <w:i/>
          <w:color w:val="646B82"/>
          <w:sz w:val="18"/>
        </w:rPr>
        <w:t xml:space="preserve">Jednou pořízený povodňový model použije více odborů i jiná města.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Výstupy musí být ve standardních formátech (GeoJSON, CityJSON, 3D Tiles, NetCDF…), čitelných i nástroji jiných dodavatelů.</w:t>
      </w:r>
    </w:p>
    <w:p>
      <w:pPr>
        <w:spacing w:before="40" w:after="140"/>
      </w:pPr>
      <w:r>
        <w:rPr>
          <w:b w:val="0"/>
          <w:i/>
          <w:color w:val="646B82"/>
          <w:sz w:val="18"/>
        </w:rPr>
        <w:t xml:space="preserve">Trh s vizualizačními a analytickými nástroji tak zůstává otevřený hospodářské soutěži.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Pracovní postupy musí zaznamenávat původ výsledků: která verze dat, který model a které parametry k nim vedly.</w:t>
      </w:r>
    </w:p>
    <w:p>
      <w:pPr>
        <w:spacing w:before="40" w:after="140"/>
      </w:pPr>
      <w:r>
        <w:rPr>
          <w:b w:val="0"/>
          <w:i/>
          <w:color w:val="646B82"/>
          <w:sz w:val="18"/>
        </w:rPr>
        <w:t xml:space="preserve">Rozhodnutí na základě dvojčete se dají později vysvětlit a obhájit.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PROČ NA TOM ZÁLEŽÍ</w:t>
            </w:r>
          </w:p>
          <w:p>
            <w:pPr>
              <w:spacing w:before="20" w:after="60"/>
            </w:pPr>
            <w:r>
              <w:rPr>
                <w:b/>
                <w:i w:val="0"/>
                <w:color w:val="2F3F9E"/>
                <w:sz w:val="18"/>
              </w:rPr>
              <w:t xml:space="preserve">•  </w:t>
            </w:r>
            <w:r>
              <w:rPr>
                <w:b w:val="0"/>
                <w:i w:val="0"/>
                <w:sz w:val="18"/>
              </w:rPr>
              <w:t>Dvojče přežije každého jednotlivého dodavatele i projektový rozpočet.</w:t>
            </w:r>
          </w:p>
          <w:p>
            <w:pPr>
              <w:spacing w:before="20" w:after="60"/>
            </w:pPr>
            <w:r>
              <w:rPr>
                <w:b/>
                <w:i w:val="0"/>
                <w:color w:val="2F3F9E"/>
                <w:sz w:val="18"/>
              </w:rPr>
              <w:t xml:space="preserve">•  </w:t>
            </w:r>
            <w:r>
              <w:rPr>
                <w:b w:val="0"/>
                <w:i w:val="0"/>
                <w:sz w:val="18"/>
              </w:rPr>
              <w:t>Simulace se dají ověřit, zopakovat a obhájit v zastupitelstvu.</w:t>
            </w:r>
          </w:p>
          <w:p>
            <w:pPr>
              <w:spacing w:before="20" w:after="60"/>
            </w:pPr>
            <w:r>
              <w:rPr>
                <w:b/>
                <w:i w:val="0"/>
                <w:color w:val="2F3F9E"/>
                <w:sz w:val="18"/>
              </w:rPr>
              <w:t xml:space="preserve">•  </w:t>
            </w:r>
            <w:r>
              <w:rPr>
                <w:b w:val="0"/>
                <w:i w:val="0"/>
                <w:sz w:val="18"/>
              </w:rPr>
              <w:t>Modely a komponenty se dají sdílet mezi městy.</w:t>
            </w:r>
          </w:p>
        </w:tc>
        <w:tc>
          <w:tcPr>
            <w:tcW w:type="dxa" w:w="4986"/>
            <w:shd w:val="clear" w:fill="FBEEEE"/>
          </w:tcPr>
          <w:p>
            <w:pPr>
              <w:spacing w:before="20" w:after="60"/>
            </w:pPr>
            <w:r>
              <w:rPr>
                <w:b/>
                <w:i w:val="0"/>
                <w:color w:val="A02020"/>
                <w:sz w:val="18"/>
              </w:rPr>
              <w:t>VAROVNÉ SIGNÁLY</w:t>
            </w:r>
          </w:p>
          <w:p>
            <w:pPr>
              <w:spacing w:before="20" w:after="60"/>
            </w:pPr>
            <w:r>
              <w:rPr>
                <w:b/>
                <w:i w:val="0"/>
                <w:color w:val="A02020"/>
                <w:sz w:val="18"/>
              </w:rPr>
              <w:t xml:space="preserve">•  </w:t>
            </w:r>
            <w:r>
              <w:rPr>
                <w:b w:val="0"/>
                <w:i w:val="0"/>
                <w:sz w:val="18"/>
              </w:rPr>
              <w:t>Výsledky simulací jen v portálu dodavatele.</w:t>
            </w:r>
          </w:p>
          <w:p>
            <w:pPr>
              <w:spacing w:before="20" w:after="60"/>
            </w:pPr>
            <w:r>
              <w:rPr>
                <w:b/>
                <w:i w:val="0"/>
                <w:color w:val="A02020"/>
                <w:sz w:val="18"/>
              </w:rPr>
              <w:t xml:space="preserve">•  </w:t>
            </w:r>
            <w:r>
              <w:rPr>
                <w:b w:val="0"/>
                <w:i w:val="0"/>
                <w:sz w:val="18"/>
              </w:rPr>
              <w:t>Modely jako zapečetěné černé skříňky bez metadat.</w:t>
            </w:r>
          </w:p>
        </w:tc>
      </w:tr>
    </w:tbl>
    <w:p>
      <w:pPr>
        <w:spacing w:before="280" w:after="40"/>
      </w:pPr>
      <w:r>
        <w:rPr>
          <w:b/>
          <w:i w:val="0"/>
          <w:color w:val="2F3F9E"/>
          <w:sz w:val="26"/>
        </w:rPr>
        <w:t>Co říká specifikace</w:t>
      </w:r>
    </w:p>
    <w:p>
      <w:pPr>
        <w:spacing w:before="40" w:after="120"/>
      </w:pPr>
      <w:r>
        <w:rPr>
          <w:b w:val="0"/>
          <w:i w:val="0"/>
          <w:color w:val="646B82"/>
          <w:sz w:val="18"/>
        </w:rPr>
        <w:t>Všechny požadavky tohoto MIM ze specifikace MIMs Plus 9.0. Specifikace existuje jen v angličtině: české znění je neoficiální překlad autora brožury, závazný je anglický originál pod ním.</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Poskytnout přístup k datovým sadám používaným v lokálním digitálním dvojčeti (LDT) včetně statických dat, dat v reálném čase, simulačních dat a výpočetních modelů</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Lokální digitální dvojče musí zpřístupnit výstupy simulací a vstupy výpočetních modelů tam, kde jsou potřeba v rámci pracovních postupů dvojčete.</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LDT má jasně rozlišovat mezi surovými zdrojovými daty, transformovanými daty připravenými pro pracovní postupy, vstupy modelů a výstupy modelů.</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Vyměňovat data s externími systémy a jinými LDT přes interoperabilní rozhraní</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Tato schopnost se při výměně dat opírá o MIM3 (Výměna dat).</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Opakovaně používat deterministické modely nebo modely umělé inteligence napříč doménami, komunitami, případy užití a LDT</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Model má poskytovat standardní metadata modelu včetně popisu jeho metod a parametrů a datových parametrů (hodnotou nebo odkazem). K tomuto účelu se mají používat běžné standardy metadat.</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Model musí být vystavený nebo volatelný přes zdokumentované rozhraní, přednostně přes známé standardizované API. Datová sada, která je výstupem modelu, musí být popsána (na úrovni dat).</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Má být zajištěno důvěryhodné, spolehlivé a etické používání inovativních metod (LLM, agentní AI apod.). Zkreslení (bias) se má tam, kde je to relevantní, minimalizovat. Metody, kterými se to zaručuje, mají být popsány.</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Model musí být schopen přistupovat k datům jménem koncového uživatele nebo organizace. Viz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U dat určených pro modely AI má být zaručen jejich původ a důvěryhodnost. V některých případech musí být uveden autoritativní zdroj, například orgán veřejné správy.</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Koordinovat a řídit data, modely a pracovní postupy zpracování v rámci LDT i mezi více LDT</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LDT podporuje pracovní postupy, které propojují zdroje dat, transformace dat, spouštění modelů, simulační procesy a výstupy.</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LDT řetězí kroky pracovního postupu tak, že výstup jednoho kroku může být vstupem dalšího.</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LDT sleduje stav provádění pracovních postupů včetně dokončených, neúspěšných a přerušených procesů.</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Lokální digitální dvojče zaznamenává původ pracovních postupů včetně použitých datových sad (s verzí a časovým razítkem), spuštěných modelů, zvolených parametrů a vygenerovaných výstupů.</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Poskytovat více vizualizací dat a výsledků (např. 2D, 3D, přehledy) nad společnými daty a modely pro interakci a porovnávání</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LDT poskytuje metadata vysvětlující, co je vizualizováno, včetně časového razítka, prostorového rozsahu, zdroje dat a případných předpokladů scénářů a variant.</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LDT podporuje různé typy interaktivních vizualizací, například 2D mapy, 3D scény, přehledy, zprávy nebo pohledy pro veřejnost.</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Zajistit, aby data (a výstupy simulací) vyměňovaná v rámci LDT a mezi nimi šlo interpretovat konzistentně díky sdílené nebo namapované sémantice a jasnému původu</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LDT má dokumentovat nevyřešené sémantické mezery, předpoklady nebo mapování, která mohou ovlivnit interpretaci, opětovné použití nebo porovnání výsledků.</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Mechanismy (v aktivním vývoji)</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Přístup ke zdrojům LDT přes API</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Standardizované formáty dat a výstupů</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Model jako služba (Model-as-a-Service)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Orchestrace pracovních postupů LDT</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Přístup k výstupům a vizualizacím ve více pohledech</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Celé znění specifikace: </w:t>
      </w:r>
      <w:hyperlink r:id="rId19">
        <w:r>
          <w:rPr>
            <w:color w:val="2F3F9E"/>
            <w:u w:val="single"/>
            <w:sz w:val="18"/>
          </w:rPr>
          <w:t>https://mims.oascities.org/local-digital-twins</w:t>
        </w:r>
      </w:hyperlink>
    </w:p>
    <w:p>
      <w:r>
        <w:br w:type="page"/>
      </w:r>
    </w:p>
    <w:p>
      <w:pPr>
        <w:spacing w:before="120" w:after="40"/>
      </w:pPr>
      <w:r>
        <w:rPr>
          <w:b/>
          <w:i w:val="0"/>
          <w:color w:val="2F3F9E"/>
          <w:sz w:val="36"/>
        </w:rPr>
        <w:t>Průřezové smluvní klauzule</w:t>
      </w:r>
    </w:p>
    <w:p>
      <w:pPr>
        <w:spacing w:before="40" w:after="120"/>
      </w:pPr>
      <w:r>
        <w:rPr>
          <w:b/>
          <w:i w:val="0"/>
          <w:color w:val="0B7485"/>
          <w:sz w:val="22"/>
        </w:rPr>
        <w:t>Pojistky proti závislosti na dodavateli</w:t>
      </w:r>
    </w:p>
    <w:p>
      <w:pPr>
        <w:spacing w:before="40" w:after="200"/>
      </w:pPr>
      <w:r>
        <w:rPr>
          <w:b w:val="0"/>
          <w:i w:val="0"/>
          <w:sz w:val="20"/>
        </w:rPr>
        <w:t>Tyto klauzule patří do každé zakázky bez ohledu na to, co pořizujete. Vycházejí ze zadavatelské praxe kolem MIMs a living-in.eu. Většina se neopírá o jeden konkrétní požadavek specifikace, proto nenesou referenční kódy (verzování API doporučuje i MIM0 C2). Stojí málo; jejich vynechání může stát všechno.</w:t>
      </w:r>
    </w:p>
    <w:p>
      <w:pPr>
        <w:spacing w:before="40" w:after="20"/>
      </w:pPr>
      <w:r>
        <w:rPr>
          <w:b/>
          <w:i w:val="0"/>
          <w:color w:val="2F3F9E"/>
          <w:sz w:val="22"/>
        </w:rPr>
        <w:t xml:space="preserve">☐  </w:t>
      </w:r>
      <w:r>
        <w:rPr>
          <w:b/>
          <w:i w:val="0"/>
          <w:color w:val="2F3F9E"/>
          <w:sz w:val="21"/>
        </w:rPr>
        <w:t>X.1  Exitová strategie</w:t>
      </w:r>
    </w:p>
    <w:p>
      <w:pPr>
        <w:spacing w:before="40" w:after="160"/>
      </w:pPr>
      <w:r>
        <w:rPr>
          <w:b w:val="0"/>
          <w:i w:val="0"/>
          <w:sz w:val="20"/>
        </w:rPr>
        <w:t>Při skončení smlouvy dodavatel bezúplatně předá všechna data a konfiguraci v otevřených, zdokumentovaných formátech.</w:t>
      </w:r>
    </w:p>
    <w:p>
      <w:pPr>
        <w:spacing w:before="40" w:after="20"/>
      </w:pPr>
      <w:r>
        <w:rPr>
          <w:b/>
          <w:i w:val="0"/>
          <w:color w:val="2F3F9E"/>
          <w:sz w:val="22"/>
        </w:rPr>
        <w:t xml:space="preserve">☐  </w:t>
      </w:r>
      <w:r>
        <w:rPr>
          <w:b/>
          <w:i w:val="0"/>
          <w:color w:val="2F3F9E"/>
          <w:sz w:val="21"/>
        </w:rPr>
        <w:t>X.2  Práva k datům</w:t>
      </w:r>
    </w:p>
    <w:p>
      <w:pPr>
        <w:spacing w:before="40" w:after="160"/>
      </w:pPr>
      <w:r>
        <w:rPr>
          <w:b w:val="0"/>
          <w:i w:val="0"/>
          <w:sz w:val="20"/>
        </w:rPr>
        <w:t>Všechna práva k datům sesbíraným a odvozeným během plnění smlouvy náleží zadavateli.</w:t>
      </w:r>
    </w:p>
    <w:p>
      <w:pPr>
        <w:spacing w:before="40" w:after="20"/>
      </w:pPr>
      <w:r>
        <w:rPr>
          <w:b/>
          <w:i w:val="0"/>
          <w:color w:val="2F3F9E"/>
          <w:sz w:val="22"/>
        </w:rPr>
        <w:t xml:space="preserve">☐  </w:t>
      </w:r>
      <w:r>
        <w:rPr>
          <w:b/>
          <w:i w:val="0"/>
          <w:color w:val="2F3F9E"/>
          <w:sz w:val="21"/>
        </w:rPr>
        <w:t>X.3  Žádné poplatky za vlastní data</w:t>
      </w:r>
    </w:p>
    <w:p>
      <w:pPr>
        <w:spacing w:before="40" w:after="160"/>
      </w:pPr>
      <w:r>
        <w:rPr>
          <w:b w:val="0"/>
          <w:i w:val="0"/>
          <w:sz w:val="20"/>
        </w:rPr>
        <w:t>Zadavatel neplatí za přístup k vlastním datům žádný poplatek, ani podle počtu uživatelů, ani podle počtu požadavků.</w:t>
      </w:r>
    </w:p>
    <w:p>
      <w:pPr>
        <w:spacing w:before="40" w:after="20"/>
      </w:pPr>
      <w:r>
        <w:rPr>
          <w:b/>
          <w:i w:val="0"/>
          <w:color w:val="2F3F9E"/>
          <w:sz w:val="22"/>
        </w:rPr>
        <w:t xml:space="preserve">☐  </w:t>
      </w:r>
      <w:r>
        <w:rPr>
          <w:b/>
          <w:i w:val="0"/>
          <w:color w:val="2F3F9E"/>
          <w:sz w:val="21"/>
        </w:rPr>
        <w:t>X.4  Stabilita a verze API</w:t>
      </w:r>
    </w:p>
    <w:p>
      <w:pPr>
        <w:spacing w:before="40" w:after="160"/>
      </w:pPr>
      <w:r>
        <w:rPr>
          <w:b w:val="0"/>
          <w:i w:val="0"/>
          <w:sz w:val="20"/>
        </w:rPr>
        <w:t>Dodavatel zachová zpětnou kompatibilitu API po celou dobu trvání smlouvy. Nekompatibilní změny oznámí alespoň 6 měsíců předem a vydá je jako novou verzi; předchozí verze zůstane dostupná do dohodnutého termínu přechodu.</w:t>
      </w:r>
    </w:p>
    <w:p>
      <w:pPr>
        <w:spacing w:before="40" w:after="20"/>
      </w:pPr>
      <w:r>
        <w:rPr>
          <w:b/>
          <w:i w:val="0"/>
          <w:color w:val="2F3F9E"/>
          <w:sz w:val="22"/>
        </w:rPr>
        <w:t xml:space="preserve">☐  </w:t>
      </w:r>
      <w:r>
        <w:rPr>
          <w:b/>
          <w:i w:val="0"/>
          <w:color w:val="2F3F9E"/>
          <w:sz w:val="21"/>
        </w:rPr>
        <w:t>X.5  Ukázat, ne slíbit</w:t>
      </w:r>
    </w:p>
    <w:p>
      <w:pPr>
        <w:spacing w:before="40" w:after="160"/>
      </w:pPr>
      <w:r>
        <w:rPr>
          <w:b w:val="0"/>
          <w:i w:val="0"/>
          <w:sz w:val="20"/>
        </w:rPr>
        <w:t>Dodavatelé prokáží splnění požadavků už při hodnocení nabídek, ne čestným prohlášením. U API to znamená zveřejněnou interaktivní dokumentaci (např. OpenAPI) a živé volání, které vrátí platná data. Každá označená položka se znovu otestuje při předání a převzetí.</w:t>
      </w:r>
    </w:p>
    <w:p>
      <w:pPr>
        <w:spacing w:before="40" w:after="20"/>
      </w:pPr>
      <w:r>
        <w:rPr>
          <w:b/>
          <w:i w:val="0"/>
          <w:color w:val="2F3F9E"/>
          <w:sz w:val="22"/>
        </w:rPr>
        <w:t xml:space="preserve">☐  </w:t>
      </w:r>
      <w:r>
        <w:rPr>
          <w:b/>
          <w:i w:val="0"/>
          <w:color w:val="2F3F9E"/>
          <w:sz w:val="21"/>
        </w:rPr>
        <w:t>X.6  Konkrétní otevřené standardy</w:t>
      </w:r>
    </w:p>
    <w:p>
      <w:pPr>
        <w:spacing w:before="40" w:after="160"/>
      </w:pPr>
      <w:r>
        <w:rPr>
          <w:b w:val="0"/>
          <w:i w:val="0"/>
          <w:sz w:val="20"/>
        </w:rPr>
        <w:t>Zadávací dokumentace uvádí konkrétní standardy; tvrzení „kompatibilní s…“ musí uvést přesné rozhraní a verzi. U každého odkazu na normu nebo technickou specifikaci se připouští rovnocenné řešení; rovnocennost prokazuje dodavatel.</w:t>
      </w:r>
    </w:p>
    <w:p>
      <w:pPr>
        <w:spacing w:before="40" w:after="20"/>
      </w:pPr>
      <w:r>
        <w:rPr>
          <w:b/>
          <w:i w:val="0"/>
          <w:color w:val="2F3F9E"/>
          <w:sz w:val="22"/>
        </w:rPr>
        <w:t xml:space="preserve">☐  </w:t>
      </w:r>
      <w:r>
        <w:rPr>
          <w:b/>
          <w:i w:val="0"/>
          <w:color w:val="2F3F9E"/>
          <w:sz w:val="21"/>
        </w:rPr>
        <w:t>X.7  Soulad s MIMs</w:t>
      </w:r>
    </w:p>
    <w:p>
      <w:pPr>
        <w:spacing w:before="40" w:after="160"/>
      </w:pPr>
      <w:r>
        <w:rPr>
          <w:b w:val="0"/>
          <w:i w:val="0"/>
          <w:sz w:val="20"/>
        </w:rPr>
        <w:t>Dodavatel vyplní tabulku shody (s. 28); ta se stane přílohou smlouvy.</w:t>
      </w:r>
    </w:p>
    <w:p>
      <w:r>
        <w:br w:type="page"/>
      </w:r>
    </w:p>
    <w:p>
      <w:pPr>
        <w:spacing w:before="120" w:after="160"/>
      </w:pPr>
      <w:r>
        <w:rPr>
          <w:b/>
          <w:i w:val="0"/>
          <w:color w:val="2F3F9E"/>
          <w:sz w:val="36"/>
        </w:rPr>
        <w:t>Příklad: město kupuje síť senzorů kvality ovzduší</w:t>
      </w:r>
    </w:p>
    <w:p>
      <w:pPr>
        <w:spacing w:before="40" w:after="160"/>
      </w:pPr>
      <w:r>
        <w:rPr>
          <w:b w:val="0"/>
          <w:i w:val="0"/>
          <w:sz w:val="20"/>
        </w:rPr>
        <w:t>Označené strany: MIM0, MIM1, MIM2, MIM6 a MIM7 (data jdou na mapu). MIM3 jen položka 3.1 (data o ovzduší se zveřejňují jako otevřená data, proto patří do katalogu); MIM8 ne: nejde o digitální dvojče.</w:t>
      </w:r>
    </w:p>
    <w:p>
      <w:pPr>
        <w:spacing w:before="40" w:after="80"/>
      </w:pPr>
      <w:r>
        <w:rPr>
          <w:b/>
          <w:i w:val="0"/>
          <w:color w:val="2F3F9E"/>
          <w:sz w:val="22"/>
        </w:rPr>
        <w:t>Co kam patří</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Dokument</w:t>
            </w:r>
          </w:p>
        </w:tc>
        <w:tc>
          <w:tcPr>
            <w:tcW w:type="dxa" w:w="3324"/>
            <w:shd w:val="clear" w:fill="EEF0FB"/>
          </w:tcPr>
          <w:p>
            <w:r>
              <w:rPr>
                <w:b/>
                <w:i w:val="0"/>
                <w:color w:val="2F3F9E"/>
                <w:sz w:val="18"/>
              </w:rPr>
              <w:t>Pojem směrnice 2014/24/EU</w:t>
            </w:r>
          </w:p>
        </w:tc>
        <w:tc>
          <w:tcPr>
            <w:tcW w:type="dxa" w:w="3324"/>
            <w:shd w:val="clear" w:fill="EEF0FB"/>
          </w:tcPr>
          <w:p>
            <w:r>
              <w:rPr>
                <w:b/>
                <w:i w:val="0"/>
                <w:color w:val="2F3F9E"/>
                <w:sz w:val="18"/>
              </w:rPr>
              <w:t>Co do něj vložit</w:t>
            </w:r>
          </w:p>
        </w:tc>
      </w:tr>
      <w:tr>
        <w:tc>
          <w:tcPr>
            <w:tcW w:type="dxa" w:w="3324"/>
          </w:tcPr>
          <w:p>
            <w:r>
              <w:rPr>
                <w:b/>
                <w:i w:val="0"/>
                <w:color w:val="2F3F9E"/>
                <w:sz w:val="18"/>
              </w:rPr>
              <w:t>Popis předmětu zakázky</w:t>
            </w:r>
          </w:p>
        </w:tc>
        <w:tc>
          <w:tcPr>
            <w:tcW w:type="dxa" w:w="3324"/>
          </w:tcPr>
          <w:p>
            <w:r>
              <w:rPr>
                <w:b w:val="0"/>
                <w:i w:val="0"/>
                <w:color w:val="646B82"/>
                <w:sz w:val="17"/>
              </w:rPr>
              <w:t>technické specifikace (čl. 42)</w:t>
            </w:r>
          </w:p>
        </w:tc>
        <w:tc>
          <w:tcPr>
            <w:tcW w:type="dxa" w:w="3324"/>
          </w:tcPr>
          <w:p>
            <w:r>
              <w:rPr>
                <w:b w:val="0"/>
                <w:i w:val="0"/>
                <w:sz w:val="18"/>
              </w:rPr>
              <w:t>označené položky MIM0, MIM1, MIM2, MIM3 (jen 3.1), MIM6 (kromě 6.4) a MIM7, doslova, s kódem specifikace, a věta o rovnocennosti</w:t>
            </w:r>
          </w:p>
        </w:tc>
      </w:tr>
      <w:tr>
        <w:tc>
          <w:tcPr>
            <w:tcW w:type="dxa" w:w="3324"/>
          </w:tcPr>
          <w:p>
            <w:r>
              <w:rPr>
                <w:b/>
                <w:i w:val="0"/>
                <w:color w:val="2F3F9E"/>
                <w:sz w:val="18"/>
              </w:rPr>
              <w:t>Podmínky účasti</w:t>
            </w:r>
          </w:p>
        </w:tc>
        <w:tc>
          <w:tcPr>
            <w:tcW w:type="dxa" w:w="3324"/>
          </w:tcPr>
          <w:p>
            <w:r>
              <w:rPr>
                <w:b w:val="0"/>
                <w:i w:val="0"/>
                <w:color w:val="646B82"/>
                <w:sz w:val="17"/>
              </w:rPr>
              <w:t>kritéria pro výběr (čl. 58 a 62)</w:t>
            </w:r>
          </w:p>
        </w:tc>
        <w:tc>
          <w:tcPr>
            <w:tcW w:type="dxa" w:w="3324"/>
          </w:tcPr>
          <w:p>
            <w:r>
              <w:rPr>
                <w:b w:val="0"/>
                <w:i w:val="0"/>
                <w:sz w:val="18"/>
              </w:rPr>
              <w:t>doložený soulad s ISO/IEC 27001:2022 nebo ekvivalent (položka 6.4)</w:t>
            </w:r>
          </w:p>
        </w:tc>
      </w:tr>
      <w:tr>
        <w:tc>
          <w:tcPr>
            <w:tcW w:type="dxa" w:w="3324"/>
          </w:tcPr>
          <w:p>
            <w:r>
              <w:rPr>
                <w:b/>
                <w:i w:val="0"/>
                <w:color w:val="2F3F9E"/>
                <w:sz w:val="18"/>
              </w:rPr>
              <w:t>Způsob prokázání</w:t>
            </w:r>
          </w:p>
        </w:tc>
        <w:tc>
          <w:tcPr>
            <w:tcW w:type="dxa" w:w="3324"/>
          </w:tcPr>
          <w:p>
            <w:r>
              <w:rPr>
                <w:b w:val="0"/>
                <w:i w:val="0"/>
                <w:color w:val="646B82"/>
                <w:sz w:val="17"/>
              </w:rPr>
              <w:t>zkušební protokoly, osvědčení a jiné důkazní prostředky (čl. 44)</w:t>
            </w:r>
          </w:p>
        </w:tc>
        <w:tc>
          <w:tcPr>
            <w:tcW w:type="dxa" w:w="3324"/>
          </w:tcPr>
          <w:p>
            <w:r>
              <w:rPr>
                <w:b w:val="0"/>
                <w:i w:val="0"/>
                <w:sz w:val="18"/>
              </w:rPr>
              <w:t>tabulka shody jako povinná příloha nabídky: u každé položky S, E nebo N a důkaz (adresa dokumentace API, testovací přístup)</w:t>
            </w:r>
          </w:p>
        </w:tc>
      </w:tr>
      <w:tr>
        <w:tc>
          <w:tcPr>
            <w:tcW w:type="dxa" w:w="3324"/>
          </w:tcPr>
          <w:p>
            <w:r>
              <w:rPr>
                <w:b/>
                <w:i w:val="0"/>
                <w:color w:val="2F3F9E"/>
                <w:sz w:val="18"/>
              </w:rPr>
              <w:t>Návrh smlouvy</w:t>
            </w:r>
          </w:p>
        </w:tc>
        <w:tc>
          <w:tcPr>
            <w:tcW w:type="dxa" w:w="3324"/>
          </w:tcPr>
          <w:p>
            <w:r>
              <w:rPr>
                <w:b w:val="0"/>
                <w:i w:val="0"/>
                <w:color w:val="646B82"/>
                <w:sz w:val="17"/>
              </w:rPr>
              <w:t>podmínky plnění veřejných zakázek (čl. 70)</w:t>
            </w:r>
          </w:p>
        </w:tc>
        <w:tc>
          <w:tcPr>
            <w:tcW w:type="dxa" w:w="3324"/>
          </w:tcPr>
          <w:p>
            <w:r>
              <w:rPr>
                <w:b w:val="0"/>
                <w:i w:val="0"/>
                <w:sz w:val="18"/>
              </w:rPr>
              <w:t>Exitová strategie, Práva k datům, Žádné poplatky za vlastní data, Stabilita a verze API; vyplněná tabulka shody jako příloha</w:t>
            </w:r>
          </w:p>
        </w:tc>
      </w:tr>
      <w:tr>
        <w:tc>
          <w:tcPr>
            <w:tcW w:type="dxa" w:w="3324"/>
          </w:tcPr>
          <w:p>
            <w:r>
              <w:rPr>
                <w:b/>
                <w:i w:val="0"/>
                <w:color w:val="2F3F9E"/>
                <w:sz w:val="18"/>
              </w:rPr>
              <w:t>Předávací (akceptační) protokol</w:t>
            </w:r>
          </w:p>
        </w:tc>
        <w:tc>
          <w:tcPr>
            <w:tcW w:type="dxa" w:w="3324"/>
          </w:tcPr>
          <w:p>
            <w:r>
              <w:rPr>
                <w:b w:val="0"/>
                <w:i w:val="0"/>
                <w:color w:val="646B82"/>
                <w:sz w:val="17"/>
              </w:rPr>
              <w:t>podmínky plnění veřejných zakázek (čl. 70)</w:t>
            </w:r>
          </w:p>
        </w:tc>
        <w:tc>
          <w:tcPr>
            <w:tcW w:type="dxa" w:w="3324"/>
          </w:tcPr>
          <w:p>
            <w:r>
              <w:rPr>
                <w:b w:val="0"/>
                <w:i w:val="0"/>
                <w:sz w:val="18"/>
              </w:rPr>
              <w:t>sloupec „Ověřeno“ tabulky shody jako testovací protokol</w:t>
            </w:r>
          </w:p>
        </w:tc>
      </w:tr>
    </w:tbl>
    <w:p>
      <w:pPr>
        <w:spacing w:before="200" w:after="80"/>
      </w:pPr>
      <w:r>
        <w:rPr>
          <w:b/>
          <w:i w:val="0"/>
          <w:color w:val="2F3F9E"/>
          <w:sz w:val="22"/>
        </w:rPr>
        <w:t>Ukázka textu v popisu předmětu zakázky</w:t>
      </w:r>
    </w:p>
    <w:p>
      <w:pPr>
        <w:spacing w:before="40" w:after="60"/>
      </w:pPr>
      <w:r>
        <w:rPr>
          <w:b/>
          <w:i w:val="0"/>
          <w:sz w:val="19"/>
        </w:rPr>
        <w:t>4.3 Interoperabilita a přístup k datům</w:t>
      </w:r>
    </w:p>
    <w:p>
      <w:pPr>
        <w:spacing w:before="40" w:after="60"/>
      </w:pPr>
      <w:r>
        <w:rPr>
          <w:b w:val="0"/>
          <w:i w:val="0"/>
          <w:sz w:val="19"/>
        </w:rPr>
        <w:t>4.3.1 Systém musí zpřístupňovat všechna data, která sbírá nebo vytváří, alespoň v jednom strojově čitelném formátu (např. JSON, CSV) přes standardní webové API. (MIMs Plus 9.0, MIM0 R1.1, R1.2)</w:t>
      </w:r>
    </w:p>
    <w:p>
      <w:pPr>
        <w:spacing w:before="40" w:after="60"/>
      </w:pPr>
      <w:r>
        <w:rPr>
          <w:b w:val="0"/>
          <w:i w:val="0"/>
          <w:sz w:val="19"/>
        </w:rPr>
        <w:t>4.3.2 API musí být formálně popsané v otevřeném, strojově čitelném dokumentu (např. OpenAPI) zveřejněném na stálé adrese. (MIM0 R1.3)</w:t>
      </w:r>
    </w:p>
    <w:p>
      <w:pPr>
        <w:spacing w:before="40" w:after="60"/>
      </w:pPr>
      <w:r>
        <w:rPr>
          <w:b w:val="0"/>
          <w:i w:val="0"/>
          <w:sz w:val="19"/>
        </w:rPr>
        <w:t>4.3.3 API musí umožňovat filtrování dat podle času a místa měření. (MIM0 R2.1, R2.2)</w:t>
      </w:r>
    </w:p>
    <w:p>
      <w:pPr>
        <w:spacing w:before="40" w:after="60"/>
      </w:pPr>
      <w:r>
        <w:rPr>
          <w:b w:val="0"/>
          <w:i w:val="0"/>
          <w:sz w:val="19"/>
        </w:rPr>
        <w:t>… 4.3.4 až 4.3.21: další označené položky …</w:t>
      </w:r>
    </w:p>
    <w:p>
      <w:pPr>
        <w:spacing w:before="40" w:after="60"/>
      </w:pPr>
      <w:r>
        <w:rPr>
          <w:b w:val="0"/>
          <w:i w:val="0"/>
          <w:sz w:val="19"/>
        </w:rPr>
        <w:t>4.3.22 U každého odkazu na normu nebo technickou specifikaci se připouští rovnocenné řešení; rovnocennost prokazuje dodavatel.</w:t>
      </w:r>
    </w:p>
    <w:p>
      <w:pPr>
        <w:spacing w:before="40" w:after="60"/>
      </w:pPr>
      <w:r>
        <w:rPr>
          <w:b w:val="0"/>
          <w:i w:val="0"/>
          <w:sz w:val="19"/>
        </w:rPr>
        <w:t>4.3.23 Dodavatel vyplní tabulku shody (příloha zadávací dokumentace) a u každé vyžadované položky uvede důkaz. Při hodnocení nabídek dodavatel splnění bodů 4.3.1 až 4.3.21 předvede (např. živým voláním API); nabídka, která vyžadovaný bod nesplní, nesplňuje zadávací podmínky. Zadavatel body znovu otestuje při převzetí; nesplnění je pak důvodem k odmítnutí převzetí plnění.</w:t>
      </w:r>
    </w:p>
    <w:p>
      <w:pPr>
        <w:spacing w:before="120" w:after="80"/>
      </w:pPr>
      <w:r>
        <w:rPr>
          <w:b w:val="0"/>
          <w:i/>
          <w:color w:val="646B82"/>
          <w:sz w:val="18"/>
        </w:rPr>
        <w:t>Bod 4.3.3 ukazuje, že položku můžete upřesnit podle nákupu: u senzorů má smysl žádat filtrování podle času a místa měření.</w:t>
      </w:r>
    </w:p>
    <w:p>
      <w:pPr>
        <w:spacing w:before="160" w:after="80"/>
      </w:pPr>
      <w:r>
        <w:rPr>
          <w:b/>
          <w:i w:val="0"/>
          <w:color w:val="2F3F9E"/>
          <w:sz w:val="22"/>
        </w:rPr>
        <w:t>Ukázka vyplněné tabulky shody</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Požadavek (zkráceně)</w:t>
            </w:r>
          </w:p>
        </w:tc>
        <w:tc>
          <w:tcPr>
            <w:tcW w:type="dxa" w:w="1994"/>
            <w:shd w:val="clear" w:fill="EEF0FB"/>
          </w:tcPr>
          <w:p>
            <w:r>
              <w:rPr>
                <w:b/>
                <w:i w:val="0"/>
                <w:color w:val="2F3F9E"/>
                <w:sz w:val="17"/>
              </w:rPr>
              <w:t>S / E / N</w:t>
            </w:r>
          </w:p>
        </w:tc>
        <w:tc>
          <w:tcPr>
            <w:tcW w:type="dxa" w:w="1994"/>
            <w:shd w:val="clear" w:fill="EEF0FB"/>
          </w:tcPr>
          <w:p>
            <w:r>
              <w:rPr>
                <w:b/>
                <w:i w:val="0"/>
                <w:color w:val="2F3F9E"/>
                <w:sz w:val="17"/>
              </w:rPr>
              <w:t>Jak a kde je důkaz</w:t>
            </w:r>
          </w:p>
        </w:tc>
        <w:tc>
          <w:tcPr>
            <w:tcW w:type="dxa" w:w="1994"/>
            <w:shd w:val="clear" w:fill="EEF0FB"/>
          </w:tcPr>
          <w:p>
            <w:r>
              <w:rPr>
                <w:b/>
                <w:i w:val="0"/>
                <w:color w:val="2F3F9E"/>
                <w:sz w:val="17"/>
              </w:rPr>
              <w:t>Ověřeno</w:t>
            </w:r>
          </w:p>
        </w:tc>
      </w:tr>
      <w:tr>
        <w:tc>
          <w:tcPr>
            <w:tcW w:type="dxa" w:w="1994"/>
          </w:tcPr>
          <w:p>
            <w:r>
              <w:rPr>
                <w:b w:val="0"/>
                <w:i w:val="0"/>
                <w:sz w:val="17"/>
              </w:rPr>
              <w:t>0.1</w:t>
            </w:r>
          </w:p>
        </w:tc>
        <w:tc>
          <w:tcPr>
            <w:tcW w:type="dxa" w:w="1994"/>
          </w:tcPr>
          <w:p>
            <w:r>
              <w:rPr>
                <w:b w:val="0"/>
                <w:i w:val="0"/>
                <w:sz w:val="17"/>
              </w:rPr>
              <w:t>Strojově čitelná data přes standardní webové API</w:t>
            </w:r>
          </w:p>
        </w:tc>
        <w:tc>
          <w:tcPr>
            <w:tcW w:type="dxa" w:w="1994"/>
          </w:tcPr>
          <w:p>
            <w:r>
              <w:rPr>
                <w:b w:val="0"/>
                <w:i w:val="0"/>
                <w:sz w:val="17"/>
              </w:rPr>
              <w:t>S</w:t>
            </w:r>
          </w:p>
        </w:tc>
        <w:tc>
          <w:tcPr>
            <w:tcW w:type="dxa" w:w="1994"/>
          </w:tcPr>
          <w:p>
            <w:r>
              <w:rPr>
                <w:b w:val="0"/>
                <w:i w:val="0"/>
                <w:sz w:val="17"/>
              </w:rPr>
              <w:t>REST API vrací JSON a CSV; dokumentace na adrese uvedené v nabídce, s. 12; testovací přístup v příloze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Odběr změn tam, kde je potřeba</w:t>
            </w:r>
          </w:p>
        </w:tc>
        <w:tc>
          <w:tcPr>
            <w:tcW w:type="dxa" w:w="1994"/>
          </w:tcPr>
          <w:p>
            <w:r>
              <w:rPr>
                <w:b w:val="0"/>
                <w:i w:val="0"/>
                <w:sz w:val="17"/>
              </w:rPr>
              <w:t>N</w:t>
            </w:r>
          </w:p>
        </w:tc>
        <w:tc>
          <w:tcPr>
            <w:tcW w:type="dxa" w:w="1994"/>
          </w:tcPr>
          <w:p>
            <w:r>
              <w:rPr>
                <w:b w:val="0"/>
                <w:i w:val="0"/>
                <w:sz w:val="17"/>
              </w:rPr>
              <w:t>zatím nepodporováno; plánováno v další verzi</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Otevřené geoprostorové formáty</w:t>
            </w:r>
          </w:p>
        </w:tc>
        <w:tc>
          <w:tcPr>
            <w:tcW w:type="dxa" w:w="1994"/>
          </w:tcPr>
          <w:p>
            <w:r>
              <w:rPr>
                <w:b w:val="0"/>
                <w:i w:val="0"/>
                <w:sz w:val="17"/>
              </w:rPr>
              <w:t>E</w:t>
            </w:r>
          </w:p>
        </w:tc>
        <w:tc>
          <w:tcPr>
            <w:tcW w:type="dxa" w:w="1994"/>
          </w:tcPr>
          <w:p>
            <w:r>
              <w:rPr>
                <w:b w:val="0"/>
                <w:i w:val="0"/>
                <w:sz w:val="17"/>
              </w:rPr>
              <w:t>místo GeoJSON dodává GeoPackage, otevřený standard OGC; zdůvodnění ekvivalence v nabídce, s. 15</w:t>
            </w:r>
          </w:p>
        </w:tc>
        <w:tc>
          <w:tcPr>
            <w:tcW w:type="dxa" w:w="1994"/>
          </w:tcPr>
          <w:p>
            <w:r>
              <w:rPr>
                <w:b w:val="0"/>
                <w:i w:val="0"/>
                <w:sz w:val="17"/>
              </w:rPr>
              <w:t>✓</w:t>
            </w:r>
          </w:p>
        </w:tc>
      </w:tr>
    </w:tbl>
    <w:p>
      <w:pPr>
        <w:spacing w:before="80" w:after="80"/>
      </w:pPr>
      <w:r>
        <w:rPr>
          <w:b w:val="0"/>
          <w:i/>
          <w:color w:val="646B82"/>
          <w:sz w:val="18"/>
        </w:rPr>
        <w:t>Příslib budoucí funkcionality se hodnotí jako N: komise ověřuje jen to, co dodavatel umí předvést. U vyžadované položky znamená N nesplnění zadávacích podmínek.</w:t>
      </w:r>
    </w:p>
    <w:p>
      <w:pPr>
        <w:spacing w:before="40" w:after="80"/>
      </w:pPr>
      <w:r>
        <w:rPr>
          <w:b w:val="0"/>
          <w:i/>
          <w:color w:val="646B82"/>
          <w:sz w:val="18"/>
        </w:rPr>
        <w:t>Znění přizpůsobte vnitrostátnímu právu a nechte zkontrolovat osobou odpovědnou za zadávání.</w:t>
      </w:r>
    </w:p>
    <w:p>
      <w:r>
        <w:br w:type="page"/>
      </w:r>
    </w:p>
    <w:p>
      <w:pPr>
        <w:spacing w:before="120" w:after="160"/>
      </w:pPr>
      <w:r>
        <w:rPr>
          <w:b/>
          <w:i w:val="0"/>
          <w:color w:val="2F3F9E"/>
          <w:sz w:val="36"/>
        </w:rPr>
        <w:t>Tabulka shody</w:t>
      </w:r>
    </w:p>
    <w:p>
      <w:pPr>
        <w:spacing w:before="40" w:after="80"/>
      </w:pPr>
      <w:r>
        <w:rPr>
          <w:b w:val="0"/>
          <w:i w:val="0"/>
          <w:sz w:val="19"/>
        </w:rPr>
        <w:t>Jeden řádek na položku. Zadavatel označí, co zakázka vyžaduje, a tabulku přiloží k zadávací dokumentaci jako povinnou přílohu nabídky. Dodavatel u každé vyžadované položky uvede S (splňuje), E (splňuje ekvivalentem) nebo N (nesplňuje), stručně jak, a kde je důkaz: adresa dokumentace, testovací přístup, strana nabídky. Prohlášení bez důkazu nestačí. Komise každou položku ověří při hodnocení nabídek a znovu při převzetí (✓ potvrzeno, ✗ nepotvrzeno, — neověřovalo se).</w:t>
      </w:r>
    </w:p>
    <w:p>
      <w:pPr>
        <w:spacing w:before="40" w:after="160"/>
      </w:pPr>
      <w:r>
        <w:rPr>
          <w:b w:val="0"/>
          <w:i w:val="0"/>
          <w:sz w:val="19"/>
        </w:rPr>
        <w:t>Vyplněná tabulka je součástí nabídky a stává se přílohou smlouvy. Ověřuje splnění požadavků na předmět zakázky (splnil nebo nesplnil); není kritériem hodnocení nabídek. Chcete-li míru shody hodnotit body, uveďte to mezi kritérii zveřejněnými předem v zadávací dokumentaci (směrnice 2014/24/EU, článek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Požadavek (zkráceně)</w:t>
            </w:r>
          </w:p>
        </w:tc>
        <w:tc>
          <w:tcPr>
            <w:tcW w:type="dxa" w:w="1701"/>
            <w:shd w:val="clear" w:fill="EEF0FB"/>
          </w:tcPr>
          <w:p>
            <w:r>
              <w:rPr>
                <w:b/>
                <w:i w:val="0"/>
                <w:color w:val="2F3F9E"/>
                <w:sz w:val="17"/>
              </w:rPr>
              <w:t>Ref. spec.</w:t>
            </w:r>
          </w:p>
        </w:tc>
        <w:tc>
          <w:tcPr>
            <w:tcW w:type="dxa" w:w="1077"/>
            <w:shd w:val="clear" w:fill="EEF0FB"/>
          </w:tcPr>
          <w:p>
            <w:r>
              <w:rPr>
                <w:b/>
                <w:i w:val="0"/>
                <w:color w:val="2F3F9E"/>
                <w:sz w:val="17"/>
              </w:rPr>
              <w:t>Vyžadováno?</w:t>
            </w:r>
          </w:p>
          <w:p>
            <w:r>
              <w:rPr>
                <w:b w:val="0"/>
                <w:i/>
                <w:color w:val="646B82"/>
                <w:sz w:val="15"/>
              </w:rPr>
              <w:t>zadavatel</w:t>
            </w:r>
          </w:p>
        </w:tc>
        <w:tc>
          <w:tcPr>
            <w:tcW w:type="dxa" w:w="794"/>
            <w:shd w:val="clear" w:fill="EEF0FB"/>
          </w:tcPr>
          <w:p>
            <w:r>
              <w:rPr>
                <w:b/>
                <w:i w:val="0"/>
                <w:color w:val="2F3F9E"/>
                <w:sz w:val="17"/>
              </w:rPr>
              <w:t>S / E / N</w:t>
            </w:r>
          </w:p>
          <w:p>
            <w:r>
              <w:rPr>
                <w:b w:val="0"/>
                <w:i/>
                <w:color w:val="646B82"/>
                <w:sz w:val="15"/>
              </w:rPr>
              <w:t>dodavatel</w:t>
            </w:r>
          </w:p>
        </w:tc>
        <w:tc>
          <w:tcPr>
            <w:tcW w:type="dxa" w:w="2154"/>
            <w:shd w:val="clear" w:fill="EEF0FB"/>
          </w:tcPr>
          <w:p>
            <w:r>
              <w:rPr>
                <w:b/>
                <w:i w:val="0"/>
                <w:color w:val="2F3F9E"/>
                <w:sz w:val="17"/>
              </w:rPr>
              <w:t>Jak a kde je důkaz</w:t>
            </w:r>
          </w:p>
          <w:p>
            <w:r>
              <w:rPr>
                <w:b w:val="0"/>
                <w:i/>
                <w:color w:val="646B82"/>
                <w:sz w:val="15"/>
              </w:rPr>
              <w:t>dodavatel</w:t>
            </w:r>
          </w:p>
        </w:tc>
        <w:tc>
          <w:tcPr>
            <w:tcW w:type="dxa" w:w="794"/>
            <w:shd w:val="clear" w:fill="EEF0FB"/>
          </w:tcPr>
          <w:p>
            <w:r>
              <w:rPr>
                <w:b/>
                <w:i w:val="0"/>
                <w:color w:val="2F3F9E"/>
                <w:sz w:val="17"/>
              </w:rPr>
              <w:t>Ověřeno</w:t>
            </w:r>
          </w:p>
          <w:p>
            <w:r>
              <w:rPr>
                <w:b w:val="0"/>
                <w:i/>
                <w:color w:val="646B82"/>
                <w:sz w:val="15"/>
              </w:rPr>
              <w:t>komise</w:t>
            </w:r>
          </w:p>
        </w:tc>
      </w:tr>
      <w:tr>
        <w:tc>
          <w:tcPr>
            <w:tcW w:type="dxa" w:w="9975"/>
            <w:gridSpan w:val="7"/>
            <w:shd w:val="clear" w:fill="2F3F9E"/>
          </w:tcPr>
          <w:p>
            <w:r>
              <w:rPr>
                <w:b/>
                <w:i w:val="0"/>
                <w:color w:val="FFFFFF"/>
                <w:sz w:val="17"/>
              </w:rPr>
              <w:t>MIM0 · Dostaneme svá data ven?</w:t>
            </w:r>
          </w:p>
        </w:tc>
      </w:tr>
      <w:tr>
        <w:tc>
          <w:tcPr>
            <w:tcW w:type="dxa" w:w="567"/>
          </w:tcPr>
          <w:p>
            <w:r>
              <w:rPr>
                <w:b w:val="0"/>
                <w:i w:val="0"/>
                <w:sz w:val="17"/>
              </w:rPr>
              <w:t>0.1</w:t>
            </w:r>
          </w:p>
        </w:tc>
        <w:tc>
          <w:tcPr>
            <w:tcW w:type="dxa" w:w="2608"/>
          </w:tcPr>
          <w:p>
            <w:r>
              <w:rPr>
                <w:b w:val="0"/>
                <w:i w:val="0"/>
                <w:sz w:val="17"/>
              </w:rPr>
              <w:t>Strojově čitelná data přes standardní webové API</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Otevřený popis API (OpenAPI) na stálé adrese</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Filtrování podle času, místa, atributů</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Odběr změn tam, kde je potřeba</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Standardní HTTP chyby, cache, limity</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Má každá věc trvalé jméno?</w:t>
            </w:r>
          </w:p>
        </w:tc>
      </w:tr>
      <w:tr>
        <w:tc>
          <w:tcPr>
            <w:tcW w:type="dxa" w:w="567"/>
          </w:tcPr>
          <w:p>
            <w:r>
              <w:rPr>
                <w:b w:val="0"/>
                <w:i w:val="0"/>
                <w:sz w:val="17"/>
              </w:rPr>
              <w:t>1.1</w:t>
            </w:r>
          </w:p>
        </w:tc>
        <w:tc>
          <w:tcPr>
            <w:tcW w:type="dxa" w:w="2608"/>
          </w:tcPr>
          <w:p>
            <w:r>
              <w:rPr>
                <w:b w:val="0"/>
                <w:i w:val="0"/>
                <w:sz w:val="17"/>
              </w:rPr>
              <w:t>Jedinečný trvalý identifikátor entity</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Vyhledání identifikátoru vrátí data + typ</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Mapování identifikátorů mezi systémy</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Žádné interní detaily dodavatele v ID</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Mluvíme společným jazykem?</w:t>
            </w:r>
          </w:p>
        </w:tc>
      </w:tr>
      <w:tr>
        <w:tc>
          <w:tcPr>
            <w:tcW w:type="dxa" w:w="567"/>
          </w:tcPr>
          <w:p>
            <w:r>
              <w:rPr>
                <w:b w:val="0"/>
                <w:i w:val="0"/>
                <w:sz w:val="17"/>
              </w:rPr>
              <w:t>2.1</w:t>
            </w:r>
          </w:p>
        </w:tc>
        <w:tc>
          <w:tcPr>
            <w:tcW w:type="dxa" w:w="2608"/>
          </w:tcPr>
          <w:p>
            <w:r>
              <w:rPr>
                <w:b w:val="0"/>
                <w:i w:val="0"/>
                <w:sz w:val="17"/>
              </w:rPr>
              <w:t>Standardní datové modely, kde je to možné</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Modely zdokumentované, jednotky výslovně</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Rozšíření jako profily, nikdy forky</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Otevřená serializace s validací schématem</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Umíme sdílet za jasných podmínek?</w:t>
            </w:r>
          </w:p>
        </w:tc>
      </w:tr>
      <w:tr>
        <w:tc>
          <w:tcPr>
            <w:tcW w:type="dxa" w:w="567"/>
          </w:tcPr>
          <w:p>
            <w:r>
              <w:rPr>
                <w:b w:val="0"/>
                <w:i w:val="0"/>
                <w:sz w:val="17"/>
              </w:rPr>
              <w:t>3.1</w:t>
            </w:r>
          </w:p>
        </w:tc>
        <w:tc>
          <w:tcPr>
            <w:tcW w:type="dxa" w:w="2608"/>
          </w:tcPr>
          <w:p>
            <w:r>
              <w:rPr>
                <w:b w:val="0"/>
                <w:i w:val="0"/>
                <w:sz w:val="17"/>
              </w:rPr>
              <w:t>Datové sady v katalogu se standardními metadaty</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Šablonové licence a smlouvy</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Zadavatel sám řídí podmínky přístupu</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Jsou naše data v bezpečí?</w:t>
            </w:r>
          </w:p>
        </w:tc>
      </w:tr>
      <w:tr>
        <w:tc>
          <w:tcPr>
            <w:tcW w:type="dxa" w:w="567"/>
          </w:tcPr>
          <w:p>
            <w:r>
              <w:rPr>
                <w:b w:val="0"/>
                <w:i w:val="0"/>
                <w:sz w:val="17"/>
              </w:rPr>
              <w:t>6.1</w:t>
            </w:r>
          </w:p>
        </w:tc>
        <w:tc>
          <w:tcPr>
            <w:tcW w:type="dxa" w:w="2608"/>
          </w:tcPr>
          <w:p>
            <w:r>
              <w:rPr>
                <w:b w:val="0"/>
                <w:i w:val="0"/>
                <w:sz w:val="17"/>
              </w:rPr>
              <w:t>Šifrovaný přenos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Standardní přihlašování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Rolové přístupy + auditní záznamy</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Doložený soulad s ISO/IEC 27001:2022</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Funguje to na mapě?</w:t>
            </w:r>
          </w:p>
        </w:tc>
      </w:tr>
      <w:tr>
        <w:tc>
          <w:tcPr>
            <w:tcW w:type="dxa" w:w="567"/>
          </w:tcPr>
          <w:p>
            <w:r>
              <w:rPr>
                <w:b w:val="0"/>
                <w:i w:val="0"/>
                <w:sz w:val="17"/>
              </w:rPr>
              <w:t>7.1</w:t>
            </w:r>
          </w:p>
        </w:tc>
        <w:tc>
          <w:tcPr>
            <w:tcW w:type="dxa" w:w="2608"/>
          </w:tcPr>
          <w:p>
            <w:r>
              <w:rPr>
                <w:b w:val="0"/>
                <w:i w:val="0"/>
                <w:sz w:val="17"/>
              </w:rPr>
              <w:t>Standardní rozhraní OGC</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Otevřené geoprostorové formáty</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Uvedený souřadnicový systém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Trvalé identifikátory na prostorových objektech (viz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Může naše dvojče růst?</w:t>
            </w:r>
          </w:p>
        </w:tc>
      </w:tr>
      <w:tr>
        <w:tc>
          <w:tcPr>
            <w:tcW w:type="dxa" w:w="567"/>
          </w:tcPr>
          <w:p>
            <w:r>
              <w:rPr>
                <w:b w:val="0"/>
                <w:i w:val="0"/>
                <w:sz w:val="17"/>
              </w:rPr>
              <w:t>8.1</w:t>
            </w:r>
          </w:p>
        </w:tc>
        <w:tc>
          <w:tcPr>
            <w:tcW w:type="dxa" w:w="2608"/>
          </w:tcPr>
          <w:p>
            <w:r>
              <w:rPr>
                <w:b w:val="0"/>
                <w:i w:val="0"/>
                <w:sz w:val="17"/>
              </w:rPr>
              <w:t>Data a výstupy dvojčete přes API</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Modely zdokumentované a volatelné</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Standardní výstupní formáty</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Zaznamenaný původ výsledků</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Průřezové smluvní klauzule   Dodavatel potvrzuje přijetí smluvní podmínky (S / N).</w:t>
            </w:r>
          </w:p>
        </w:tc>
      </w:tr>
      <w:tr>
        <w:tc>
          <w:tcPr>
            <w:tcW w:type="dxa" w:w="567"/>
          </w:tcPr>
          <w:p>
            <w:r>
              <w:rPr>
                <w:b w:val="0"/>
                <w:i w:val="0"/>
                <w:sz w:val="17"/>
              </w:rPr>
              <w:t>X.1</w:t>
            </w:r>
          </w:p>
        </w:tc>
        <w:tc>
          <w:tcPr>
            <w:tcW w:type="dxa" w:w="2608"/>
          </w:tcPr>
          <w:p>
            <w:r>
              <w:rPr>
                <w:b w:val="0"/>
                <w:i w:val="0"/>
                <w:sz w:val="17"/>
              </w:rPr>
              <w:t>Exitová strategie: bezúplatné předání v otevřených formátech</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Práva k datům náleží zadavateli</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Žádné poplatky za vlastní data</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Stabilita API: verze, 6 měsíců na oznámení změn</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Zkrácené názvy zastupují plné položky na stranách MIMs; v případě pochybností platí plné znění.</w:t>
      </w:r>
    </w:p>
    <w:p>
      <w:pPr>
        <w:spacing w:before="40" w:after="80"/>
      </w:pPr>
      <w:r>
        <w:rPr>
          <w:b w:val="0"/>
          <w:i w:val="0"/>
          <w:color w:val="646B82"/>
          <w:sz w:val="17"/>
        </w:rPr>
        <w:t>Tabulku v editovatelné podobě najdete na: https://www.joinedcontext.com/mims/</w:t>
      </w:r>
    </w:p>
    <w:p>
      <w:r>
        <w:br w:type="page"/>
      </w:r>
    </w:p>
    <w:p>
      <w:pPr>
        <w:spacing w:before="120" w:after="160"/>
      </w:pPr>
      <w:r>
        <w:rPr>
          <w:b/>
          <w:i w:val="0"/>
          <w:color w:val="2F3F9E"/>
          <w:sz w:val="36"/>
        </w:rPr>
        <w:t>Malý slovník</w:t>
      </w:r>
    </w:p>
    <w:p>
      <w:pPr>
        <w:spacing w:before="40" w:after="120"/>
      </w:pPr>
      <w:r>
        <w:rPr>
          <w:b/>
          <w:i w:val="0"/>
          <w:color w:val="2F3F9E"/>
          <w:sz w:val="20"/>
        </w:rPr>
        <w:t xml:space="preserve">API  —  </w:t>
      </w:r>
      <w:r>
        <w:rPr>
          <w:b w:val="0"/>
          <w:i w:val="0"/>
          <w:sz w:val="20"/>
        </w:rPr>
        <w:t>Rozhraní, přes které si jeden program žádá data od druhého: přes web, bez zásahu člověka.</w:t>
      </w:r>
    </w:p>
    <w:p>
      <w:pPr>
        <w:spacing w:before="40" w:after="120"/>
      </w:pPr>
      <w:r>
        <w:rPr>
          <w:b/>
          <w:i w:val="0"/>
          <w:color w:val="2F3F9E"/>
          <w:sz w:val="20"/>
        </w:rPr>
        <w:t xml:space="preserve">Datový model  —  </w:t>
      </w:r>
      <w:r>
        <w:rPr>
          <w:b w:val="0"/>
          <w:i w:val="0"/>
          <w:sz w:val="20"/>
        </w:rPr>
        <w:t>Dohodnutý tvar dat: která pole existují, co znamenají, v jakých jednotkách.</w:t>
      </w:r>
    </w:p>
    <w:p>
      <w:pPr>
        <w:spacing w:before="40" w:after="120"/>
      </w:pPr>
      <w:r>
        <w:rPr>
          <w:b/>
          <w:i w:val="0"/>
          <w:color w:val="2F3F9E"/>
          <w:sz w:val="20"/>
        </w:rPr>
        <w:t xml:space="preserve">DCAT-AP  —  </w:t>
      </w:r>
      <w:r>
        <w:rPr>
          <w:b w:val="0"/>
          <w:i w:val="0"/>
          <w:sz w:val="20"/>
        </w:rPr>
        <w:t>Evropský profil metadat pro katalogy dat; díky němu se datové sady dají najít i na národním a evropském portálu.</w:t>
      </w:r>
    </w:p>
    <w:p>
      <w:pPr>
        <w:spacing w:before="40" w:after="120"/>
      </w:pPr>
      <w:r>
        <w:rPr>
          <w:b/>
          <w:i w:val="0"/>
          <w:color w:val="2F3F9E"/>
          <w:sz w:val="20"/>
        </w:rPr>
        <w:t xml:space="preserve">EPSG  —  </w:t>
      </w:r>
      <w:r>
        <w:rPr>
          <w:b w:val="0"/>
          <w:i w:val="0"/>
          <w:sz w:val="20"/>
        </w:rPr>
        <w:t>Registr číselných kódů souřadnicových systémů (např. EPSG:4326 pro WGS 84).</w:t>
      </w:r>
    </w:p>
    <w:p>
      <w:pPr>
        <w:spacing w:before="40" w:after="120"/>
      </w:pPr>
      <w:r>
        <w:rPr>
          <w:b/>
          <w:i w:val="0"/>
          <w:color w:val="2F3F9E"/>
          <w:sz w:val="20"/>
        </w:rPr>
        <w:t xml:space="preserve">Identifikátor  —  </w:t>
      </w:r>
      <w:r>
        <w:rPr>
          <w:b w:val="0"/>
          <w:i w:val="0"/>
          <w:sz w:val="20"/>
        </w:rPr>
        <w:t>Trvalé jméno jedné věci (jedné lampy, jedné budovy), kterým ji označují všechny systémy.</w:t>
      </w:r>
    </w:p>
    <w:p>
      <w:pPr>
        <w:spacing w:before="40" w:after="120"/>
      </w:pPr>
      <w:r>
        <w:rPr>
          <w:b/>
          <w:i w:val="0"/>
          <w:color w:val="2F3F9E"/>
          <w:sz w:val="20"/>
        </w:rPr>
        <w:t xml:space="preserve">Interoperabilita  —  </w:t>
      </w:r>
      <w:r>
        <w:rPr>
          <w:b w:val="0"/>
          <w:i w:val="0"/>
          <w:sz w:val="20"/>
        </w:rPr>
        <w:t>Schopnost systémů různých dodavatelů vyměňovat si data a rozumět jim.</w:t>
      </w:r>
    </w:p>
    <w:p>
      <w:pPr>
        <w:spacing w:before="40" w:after="120"/>
      </w:pPr>
      <w:r>
        <w:rPr>
          <w:b/>
          <w:i w:val="0"/>
          <w:color w:val="2F3F9E"/>
          <w:sz w:val="20"/>
        </w:rPr>
        <w:t xml:space="preserve">IRI  —  </w:t>
      </w:r>
      <w:r>
        <w:rPr>
          <w:b w:val="0"/>
          <w:i w:val="0"/>
          <w:sz w:val="20"/>
        </w:rPr>
        <w:t>Mezinárodní tvar webového identifikátoru (jako URL, i s diakritikou). MIM1 jím pojmenovává entity.</w:t>
      </w:r>
    </w:p>
    <w:p>
      <w:pPr>
        <w:spacing w:before="40" w:after="120"/>
      </w:pPr>
      <w:r>
        <w:rPr>
          <w:b/>
          <w:i w:val="0"/>
          <w:color w:val="2F3F9E"/>
          <w:sz w:val="20"/>
        </w:rPr>
        <w:t xml:space="preserve">LDT  —  </w:t>
      </w:r>
      <w:r>
        <w:rPr>
          <w:b w:val="0"/>
          <w:i w:val="0"/>
          <w:sz w:val="20"/>
        </w:rPr>
        <w:t>Lokální digitální dvojče (Local Digital Twin): digitální model města nebo jeho části, propojený s daty a simulacemi.</w:t>
      </w:r>
    </w:p>
    <w:p>
      <w:pPr>
        <w:spacing w:before="40" w:after="120"/>
      </w:pPr>
      <w:r>
        <w:rPr>
          <w:b/>
          <w:i w:val="0"/>
          <w:color w:val="2F3F9E"/>
          <w:sz w:val="20"/>
        </w:rPr>
        <w:t xml:space="preserve">Metadata  —  </w:t>
      </w:r>
      <w:r>
        <w:rPr>
          <w:b w:val="0"/>
          <w:i w:val="0"/>
          <w:sz w:val="20"/>
        </w:rPr>
        <w:t>Data o datech: co datová sada obsahuje, kdo ji poskytuje, jak je aktuální, pod jakou licencí.</w:t>
      </w:r>
    </w:p>
    <w:p>
      <w:pPr>
        <w:spacing w:before="40" w:after="120"/>
      </w:pPr>
      <w:r>
        <w:rPr>
          <w:b/>
          <w:i w:val="0"/>
          <w:color w:val="2F3F9E"/>
          <w:sz w:val="20"/>
        </w:rPr>
        <w:t xml:space="preserve">OAuth 2.0 / OIDC  —  </w:t>
      </w:r>
      <w:r>
        <w:rPr>
          <w:b w:val="0"/>
          <w:i w:val="0"/>
          <w:sz w:val="20"/>
        </w:rPr>
        <w:t>Otevřené standardy pro přihlašování a udělování přístupu. OpenID Connect (OIDC) přidává k OAuth 2.0 ověření identity.</w:t>
      </w:r>
    </w:p>
    <w:p>
      <w:pPr>
        <w:spacing w:before="40" w:after="120"/>
      </w:pPr>
      <w:r>
        <w:rPr>
          <w:b/>
          <w:i w:val="0"/>
          <w:color w:val="2F3F9E"/>
          <w:sz w:val="20"/>
        </w:rPr>
        <w:t xml:space="preserve">OGC  —  </w:t>
      </w:r>
      <w:r>
        <w:rPr>
          <w:b w:val="0"/>
          <w:i w:val="0"/>
          <w:sz w:val="20"/>
        </w:rPr>
        <w:t>Open Geospatial Consortium: organizace, která vydává standardy pro geoprostorová data a služby (OGC API, WFS, SensorThings).</w:t>
      </w:r>
    </w:p>
    <w:p>
      <w:pPr>
        <w:spacing w:before="40" w:after="120"/>
      </w:pPr>
      <w:r>
        <w:rPr>
          <w:b/>
          <w:i w:val="0"/>
          <w:color w:val="2F3F9E"/>
          <w:sz w:val="20"/>
        </w:rPr>
        <w:t xml:space="preserve">OpenAPI  —  </w:t>
      </w:r>
      <w:r>
        <w:rPr>
          <w:b w:val="0"/>
          <w:i w:val="0"/>
          <w:sz w:val="20"/>
        </w:rPr>
        <w:t>Otevřený formát strojově čitelného popisu webového API: adresy, parametry, odpovědi.</w:t>
      </w:r>
    </w:p>
    <w:p>
      <w:pPr>
        <w:spacing w:before="40" w:after="120"/>
      </w:pPr>
      <w:r>
        <w:rPr>
          <w:b/>
          <w:i w:val="0"/>
          <w:color w:val="2F3F9E"/>
          <w:sz w:val="20"/>
        </w:rPr>
        <w:t xml:space="preserve">Otevřený standard  —  </w:t>
      </w:r>
      <w:r>
        <w:rPr>
          <w:b w:val="0"/>
          <w:i w:val="0"/>
          <w:sz w:val="20"/>
        </w:rPr>
        <w:t>Technické pravidlo, které si každý může přečíst a implementovat bez poplatků a bez zvláštního povolení.</w:t>
      </w:r>
    </w:p>
    <w:p>
      <w:pPr>
        <w:spacing w:before="40" w:after="120"/>
      </w:pPr>
      <w:r>
        <w:rPr>
          <w:b/>
          <w:i w:val="0"/>
          <w:color w:val="2F3F9E"/>
          <w:sz w:val="20"/>
        </w:rPr>
        <w:t xml:space="preserve">Serializace  —  </w:t>
      </w:r>
      <w:r>
        <w:rPr>
          <w:b w:val="0"/>
          <w:i w:val="0"/>
          <w:sz w:val="20"/>
        </w:rPr>
        <w:t>Zápis dat do konkrétního formátu (např. JSON, XML), aby se dala uložit nebo poslat.</w:t>
      </w:r>
    </w:p>
    <w:p>
      <w:pPr>
        <w:spacing w:before="40" w:after="120"/>
      </w:pPr>
      <w:r>
        <w:rPr>
          <w:b/>
          <w:i w:val="0"/>
          <w:color w:val="2F3F9E"/>
          <w:sz w:val="20"/>
        </w:rPr>
        <w:t xml:space="preserve">Strojově čitelné  —  </w:t>
      </w:r>
      <w:r>
        <w:rPr>
          <w:b w:val="0"/>
          <w:i w:val="0"/>
          <w:sz w:val="20"/>
        </w:rPr>
        <w:t>Strukturované tak, že to program zpracuje přímo (JSON, CSV). PDF s tabulkou takové není.</w:t>
      </w:r>
    </w:p>
    <w:p>
      <w:pPr>
        <w:spacing w:before="40" w:after="120"/>
      </w:pPr>
      <w:r>
        <w:rPr>
          <w:b/>
          <w:i w:val="0"/>
          <w:color w:val="2F3F9E"/>
          <w:sz w:val="20"/>
        </w:rPr>
        <w:t xml:space="preserve">TLS  —  </w:t>
      </w:r>
      <w:r>
        <w:rPr>
          <w:b w:val="0"/>
          <w:i w:val="0"/>
          <w:sz w:val="20"/>
        </w:rPr>
        <w:t>Protokol, který šifruje přenos dat po síti (základ HTTPS).</w:t>
      </w:r>
    </w:p>
    <w:p>
      <w:pPr>
        <w:spacing w:before="40" w:after="120"/>
      </w:pPr>
      <w:r>
        <w:rPr>
          <w:b/>
          <w:i w:val="0"/>
          <w:color w:val="2F3F9E"/>
          <w:sz w:val="20"/>
        </w:rPr>
        <w:t xml:space="preserve">Webhook / MQTT  —  </w:t>
      </w:r>
      <w:r>
        <w:rPr>
          <w:b w:val="0"/>
          <w:i w:val="0"/>
          <w:sz w:val="20"/>
        </w:rPr>
        <w:t>Dva způsoby, jak systém sám oznámí změnu: webhook zavolá vaši adresu, MQTT doručuje zprávy odběratelům.</w:t>
      </w:r>
    </w:p>
    <w:p>
      <w:pPr>
        <w:spacing w:before="40" w:after="120"/>
      </w:pPr>
      <w:r>
        <w:rPr>
          <w:b/>
          <w:i w:val="0"/>
          <w:color w:val="2F3F9E"/>
          <w:sz w:val="20"/>
        </w:rPr>
        <w:t xml:space="preserve">Závislost na dodavateli (vendor lock-in)  —  </w:t>
      </w:r>
      <w:r>
        <w:rPr>
          <w:b w:val="0"/>
          <w:i w:val="0"/>
          <w:sz w:val="20"/>
        </w:rPr>
        <w:t>Stav, kdy je změna dodavatele kvůli nákladům spojeným s daty, formáty nebo poplatky prakticky nemožná.</w:t>
      </w:r>
    </w:p>
    <w:p>
      <w:pPr>
        <w:spacing w:before="240" w:after="120"/>
      </w:pPr>
      <w:r>
        <w:rPr>
          <w:b/>
          <w:i w:val="0"/>
          <w:color w:val="0B7485"/>
          <w:sz w:val="24"/>
        </w:rPr>
        <w:t>Kde se dozvědět víc</w:t>
      </w:r>
    </w:p>
    <w:p>
      <w:pPr>
        <w:spacing w:before="40" w:after="100"/>
      </w:pPr>
      <w:hyperlink r:id="rId20">
        <w:r>
          <w:rPr>
            <w:color w:val="2F3F9E"/>
            <w:u w:val="single"/>
            <w:sz w:val="20"/>
          </w:rPr>
          <w:t>mims.oascities.org</w:t>
        </w:r>
      </w:hyperlink>
      <w:r>
        <w:rPr>
          <w:b w:val="0"/>
          <w:i w:val="0"/>
          <w:sz w:val="20"/>
        </w:rPr>
        <w:t xml:space="preserve">  —  Úplná specifikace MIMs Plus, kterou spravuje OASC.</w:t>
      </w:r>
    </w:p>
    <w:p>
      <w:pPr>
        <w:spacing w:before="40" w:after="100"/>
      </w:pPr>
      <w:hyperlink r:id="rId21">
        <w:r>
          <w:rPr>
            <w:color w:val="2F3F9E"/>
            <w:u w:val="single"/>
            <w:sz w:val="20"/>
          </w:rPr>
          <w:t>living-in.eu</w:t>
        </w:r>
      </w:hyperlink>
      <w:r>
        <w:rPr>
          <w:b w:val="0"/>
          <w:i w:val="0"/>
          <w:sz w:val="20"/>
        </w:rPr>
        <w:t xml:space="preserve">  —  Evropské hnutí za digitální transformaci měst: deklarace a kontext MIMs Plus.</w:t>
      </w:r>
    </w:p>
    <w:p>
      <w:pPr>
        <w:spacing w:before="40" w:after="100"/>
      </w:pPr>
      <w:hyperlink r:id="rId22">
        <w:r>
          <w:rPr>
            <w:color w:val="2F3F9E"/>
            <w:u w:val="single"/>
            <w:sz w:val="20"/>
          </w:rPr>
          <w:t>smartdatamodels.org</w:t>
        </w:r>
      </w:hyperlink>
      <w:r>
        <w:rPr>
          <w:b w:val="0"/>
          <w:i w:val="0"/>
          <w:sz w:val="20"/>
        </w:rPr>
        <w:t xml:space="preserve">  —  Otevřená knihovna standardních datových modelů (FIWARE, TM Forum, IUDX, OASC).</w:t>
      </w:r>
    </w:p>
    <w:p>
      <w:pPr>
        <w:spacing w:before="40" w:after="100"/>
      </w:pPr>
      <w:hyperlink r:id="rId23">
        <w:r>
          <w:rPr>
            <w:color w:val="2F3F9E"/>
            <w:u w:val="single"/>
            <w:sz w:val="20"/>
          </w:rPr>
          <w:t>oascities.org/academy</w:t>
        </w:r>
      </w:hyperlink>
      <w:r>
        <w:rPr>
          <w:b w:val="0"/>
          <w:i w:val="0"/>
          <w:sz w:val="20"/>
        </w:rPr>
        <w:t xml:space="preserve">  —  CITYxCITY Academy: kurzy pro zaměstnance měst, od měst.</w:t>
      </w:r>
    </w:p>
    <w:p>
      <w:r>
        <w:br w:type="page"/>
      </w:r>
    </w:p>
    <w:p>
      <w:pPr>
        <w:spacing w:before="480" w:after="80"/>
        <w:jc w:val="center"/>
      </w:pPr>
      <w:r>
        <w:rPr>
          <w:b w:val="0"/>
          <w:i w:val="0"/>
          <w:color w:val="646B82"/>
          <w:sz w:val="18"/>
        </w:rPr>
        <w:t>Sestaveno ze specifikace MIMs Plus 9.0 sítě Open &amp; Agile Smart Cities (mims.oascities.org). Obsah specifikace © OASC. Tato brožura je nezávislý srozumitelný průvodce pro veřejné zakázky samospráv; v případě pochybností platí specifikace.</w:t>
      </w:r>
    </w:p>
    <w:p>
      <w:pPr>
        <w:spacing w:before="40" w:after="80"/>
        <w:jc w:val="center"/>
      </w:pPr>
      <w:r>
        <w:rPr>
          <w:b w:val="0"/>
          <w:i w:val="0"/>
          <w:color w:val="0B7485"/>
          <w:sz w:val="18"/>
        </w:rPr>
        <w:t>Vytvořeno otevřenými nástroji. Volně používejte a přizpůsobte pro své město.</w:t>
      </w:r>
    </w:p>
    <w:p>
      <w:pPr>
        <w:spacing w:before="40" w:after="80"/>
        <w:jc w:val="center"/>
      </w:pPr>
      <w:r>
        <w:rPr>
          <w:b w:val="0"/>
          <w:i w:val="0"/>
          <w:color w:val="646B82"/>
          <w:sz w:val="17"/>
        </w:rPr>
        <w:t>Autor brožury: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Minimální mechanismy interoperability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Minimální mechanismy interoperability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