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Минимални механизми за оперативна съвместимост (MIMs)</w:t>
      </w:r>
    </w:p>
    <w:p>
      <w:pPr>
        <w:spacing w:before="40" w:after="320"/>
        <w:jc w:val="center"/>
      </w:pPr>
      <w:r>
        <w:rPr>
          <w:b/>
          <w:i w:val="0"/>
          <w:color w:val="0B7485"/>
          <w:sz w:val="30"/>
        </w:rPr>
        <w:t>Какво да заложите в документацията, за да запази общината контрол над данните си</w:t>
      </w:r>
    </w:p>
    <w:p>
      <w:pPr>
        <w:spacing w:before="40" w:after="120"/>
        <w:jc w:val="center"/>
      </w:pPr>
      <w:r>
        <w:rPr>
          <w:b w:val="0"/>
          <w:i w:val="0"/>
          <w:color w:val="646B82"/>
          <w:sz w:val="22"/>
        </w:rPr>
        <w:t>Спецификация: MIMs Plus 9.0 от OASC</w:t>
      </w:r>
    </w:p>
    <w:p>
      <w:pPr>
        <w:spacing w:before="40" w:after="80"/>
        <w:jc w:val="center"/>
      </w:pPr>
      <w:r>
        <w:rPr>
          <w:b w:val="0"/>
          <w:i w:val="0"/>
          <w:color w:val="646B82"/>
          <w:sz w:val="18"/>
        </w:rPr>
        <w:t>За експерти по обществени поръчки, ръководители на проекти и ИТ директори на европейски общини</w:t>
      </w:r>
    </w:p>
    <w:p>
      <w:pPr>
        <w:spacing w:before="40" w:after="80"/>
        <w:jc w:val="center"/>
      </w:pPr>
      <w:r>
        <w:rPr>
          <w:b w:val="0"/>
          <w:i w:val="0"/>
          <w:color w:val="646B82"/>
          <w:sz w:val="17"/>
        </w:rPr>
        <w:t>Автор на брошурата: Марек Мраз (Marek Mráz)</w:t>
      </w:r>
    </w:p>
    <w:p>
      <w:r>
        <w:br w:type="page"/>
      </w:r>
    </w:p>
    <w:p>
      <w:pPr>
        <w:spacing w:before="120" w:after="160"/>
      </w:pPr>
      <w:r>
        <w:rPr>
          <w:b/>
          <w:i w:val="0"/>
          <w:color w:val="2F3F9E"/>
          <w:sz w:val="36"/>
        </w:rPr>
        <w:t>Цел на тази брошура</w:t>
      </w:r>
    </w:p>
    <w:p>
      <w:pPr>
        <w:spacing w:before="40" w:after="160"/>
      </w:pPr>
      <w:r>
        <w:rPr>
          <w:b w:val="0"/>
          <w:i w:val="0"/>
          <w:sz w:val="21"/>
        </w:rPr>
        <w:t>Всяка година градовете купуват софтуер: системи за паркиране, платформи за сензори, картографски портали, цифрови двойници. Твърде често данните, които тези системи събират, остават заключени в тях. Когато договорът приключи, данните — платени с публични средства — остават в разпореждане на доставчика или биват блокирани във формат, който никой друг не може да разчете.</w:t>
      </w:r>
    </w:p>
    <w:p>
      <w:pPr>
        <w:spacing w:before="40" w:after="160"/>
      </w:pPr>
      <w:r>
        <w:rPr>
          <w:b w:val="0"/>
          <w:i w:val="0"/>
          <w:sz w:val="21"/>
        </w:rPr>
        <w:t>Не е задължително да бъде така. Минималните механизми за оперативна съвместимост (MIMs), поддържани от Open &amp; Agile Smart Cities (OASC) и одобрени чрез европейското движение living-in.eu, описват минималните технически изисквания, които запазват вашите данни отворени, преизползваеми и независими от конкретен доставчик. Те са съзнателно компактни: не са голяма архитектура, а само онези няколко условия, които задължително трябва да са изпълнени, за да могат системите да обменят данни.</w:t>
      </w:r>
    </w:p>
    <w:p>
      <w:pPr>
        <w:spacing w:before="40" w:after="160"/>
      </w:pPr>
      <w:r>
        <w:rPr>
          <w:b w:val="0"/>
          <w:i w:val="0"/>
          <w:sz w:val="21"/>
        </w:rPr>
        <w:t>Не са необходими технически познания, за да използвате тази брошура. Всеки списък превръща един MIM в ясни точки, които можете да копирате в обществена поръчка, заедно с обосновка как всяка от тях ви защитава. Непосредствено след контролния списък ще намерите всяко изискване от съответния MIM, дума по дума, за да могат техническите ви колеги и участниците да проверят подробностите.</w:t>
      </w:r>
    </w:p>
    <w:p>
      <w:pPr>
        <w:spacing w:before="40" w:after="160"/>
      </w:pPr>
      <w:r>
        <w:rPr>
          <w:b w:val="0"/>
          <w:i w:val="0"/>
          <w:sz w:val="21"/>
        </w:rPr>
        <w:t>Градовете, които изискват MIMs, купуват веднъж и използват многократно: данните за качеството на въздуха захранват информационните табла в училищата, инвентаризацията на уличното осветление захранва енергийния план, а следващият доставчик продължава оттам, докъдето е стигнал предишният. Ето какво означава оперативната съвместимост на практика — и тя се очаква все по-често в проекти, финансирани от ЕС.</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“Минималните механизми за оперативна съвместимост (MIMs) осигуряват минимално, но достатъчно ниво на оперативна съвместимост за данни, системи и услуги, конкретно в контекста на решенията за интелигентни градове.</w:t>
              <w:br/>
              <w:t>Целевата аудитория на този документ са:</w:t>
              <w:br/>
              <w:t>1. Доставчици на решения, които желаят да гарантират, че техните решения са оперативно съвместими с други и позволяват плавен обмен на данни в контекста на интелигентните градове и общности.</w:t>
              <w:br/>
              <w:t>2. Възложители, които желаят да възлагат решения, ориентирани към бъдещето и позволяващи разходноефективна интеграция в съществуваща информационна и комуникационна технологична (ИКТ) архитектура за интелигентни градове и общности.”</w:t>
            </w:r>
          </w:p>
        </w:tc>
      </w:tr>
    </w:tbl>
    <w:p>
      <w:pPr>
        <w:spacing w:before="240" w:after="60"/>
      </w:pPr>
      <w:r>
        <w:rPr>
          <w:b/>
          <w:i w:val="0"/>
          <w:color w:val="2F3F9E"/>
          <w:sz w:val="22"/>
        </w:rPr>
        <w:t>Как MIMs съответстват на правото на ЕС</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MIMs са техническа спецификация, а не закон. Те следват същата посока като правилата на ЕС, които вече се прилагат за обществените данни и цифровите услуги:</w:t>
            </w:r>
          </w:p>
          <w:p>
            <w:pPr>
              <w:spacing w:before="20" w:after="60"/>
            </w:pPr>
            <w:r>
              <w:rPr>
                <w:b/>
                <w:i w:val="0"/>
                <w:color w:val="2F3F9E"/>
                <w:sz w:val="19"/>
              </w:rPr>
              <w:t>Директива за обществените поръчки</w:t>
            </w:r>
            <w:r>
              <w:rPr>
                <w:b w:val="0"/>
                <w:i w:val="0"/>
                <w:color w:val="646B82"/>
                <w:sz w:val="17"/>
              </w:rPr>
              <w:t xml:space="preserve"> (Директива 2014/24/ЕС, член 42): </w:t>
            </w:r>
            <w:r>
              <w:rPr>
                <w:b w:val="0"/>
                <w:i w:val="0"/>
                <w:sz w:val="19"/>
              </w:rPr>
              <w:t>техническите спецификации могат да се позовават на стандарти, винаги с „или еквивалент“; по правило те не могат да посочват конкретна марка или продукт.</w:t>
            </w:r>
          </w:p>
          <w:p>
            <w:pPr>
              <w:spacing w:before="20" w:after="60"/>
            </w:pPr>
            <w:r>
              <w:rPr>
                <w:b/>
                <w:i w:val="0"/>
                <w:color w:val="2F3F9E"/>
                <w:sz w:val="19"/>
              </w:rPr>
              <w:t>Акт за данните</w:t>
            </w:r>
            <w:r>
              <w:rPr>
                <w:b w:val="0"/>
                <w:i w:val="0"/>
                <w:color w:val="646B82"/>
                <w:sz w:val="17"/>
              </w:rPr>
              <w:t xml:space="preserve"> (Регламент (ЕС) 2023/2854): </w:t>
            </w:r>
            <w:r>
              <w:rPr>
                <w:b w:val="0"/>
                <w:i w:val="0"/>
                <w:sz w:val="19"/>
              </w:rPr>
              <w:t>достъп до данни от свързани продукти и смяна на доставчици на облачни услуги без обвързване към един доставчик.</w:t>
            </w:r>
          </w:p>
          <w:p>
            <w:pPr>
              <w:spacing w:before="20" w:after="60"/>
            </w:pPr>
            <w:r>
              <w:rPr>
                <w:b/>
                <w:i w:val="0"/>
                <w:color w:val="2F3F9E"/>
                <w:sz w:val="19"/>
              </w:rPr>
              <w:t>Акт за оперативно съвместима Европа</w:t>
            </w:r>
            <w:r>
              <w:rPr>
                <w:b w:val="0"/>
                <w:i w:val="0"/>
                <w:color w:val="646B82"/>
                <w:sz w:val="17"/>
              </w:rPr>
              <w:t xml:space="preserve"> (Регламент (ЕС) 2024/903): </w:t>
            </w:r>
            <w:r>
              <w:rPr>
                <w:b w:val="0"/>
                <w:i w:val="0"/>
                <w:sz w:val="19"/>
              </w:rPr>
              <w:t>оценки на оперативната съвместимост за трансгранични цифрови обществени услуги и повторно използване на отворени решения.</w:t>
            </w:r>
          </w:p>
          <w:p>
            <w:pPr>
              <w:spacing w:before="20" w:after="60"/>
            </w:pPr>
            <w:r>
              <w:rPr>
                <w:b/>
                <w:i w:val="0"/>
                <w:color w:val="2F3F9E"/>
                <w:sz w:val="19"/>
              </w:rPr>
              <w:t>Директива за отворените данни</w:t>
            </w:r>
            <w:r>
              <w:rPr>
                <w:b w:val="0"/>
                <w:i w:val="0"/>
                <w:color w:val="646B82"/>
                <w:sz w:val="17"/>
              </w:rPr>
              <w:t xml:space="preserve"> (Директива (ЕС) 2019/1024): </w:t>
            </w:r>
            <w:r>
              <w:rPr>
                <w:b w:val="0"/>
                <w:i w:val="0"/>
                <w:sz w:val="19"/>
              </w:rPr>
              <w:t>набори от данни с висока стойност, публикувани безплатно, в машинночетим формат, чрез API.</w:t>
            </w:r>
          </w:p>
          <w:p>
            <w:pPr>
              <w:spacing w:before="20" w:after="60"/>
            </w:pPr>
            <w:r>
              <w:rPr>
                <w:b/>
                <w:i w:val="0"/>
                <w:color w:val="2F3F9E"/>
                <w:sz w:val="19"/>
              </w:rPr>
              <w:t>Директива МИС 2</w:t>
            </w:r>
            <w:r>
              <w:rPr>
                <w:b w:val="0"/>
                <w:i w:val="0"/>
                <w:color w:val="646B82"/>
                <w:sz w:val="17"/>
              </w:rPr>
              <w:t xml:space="preserve"> (Директива (ЕС) 2022/2555): </w:t>
            </w:r>
            <w:r>
              <w:rPr>
                <w:b w:val="0"/>
                <w:i w:val="0"/>
                <w:sz w:val="19"/>
              </w:rPr>
              <w:t>базово ниво на киберсигурност; националното законодателство определя доколко обхваща местната администрация.</w:t>
            </w:r>
          </w:p>
          <w:p>
            <w:pPr>
              <w:spacing w:before="20" w:after="60"/>
            </w:pPr>
            <w:r>
              <w:rPr>
                <w:b/>
                <w:i w:val="0"/>
                <w:color w:val="2F3F9E"/>
                <w:sz w:val="19"/>
              </w:rPr>
              <w:t>ОРЗД (GDPR)</w:t>
            </w:r>
            <w:r>
              <w:rPr>
                <w:b w:val="0"/>
                <w:i w:val="0"/>
                <w:color w:val="646B82"/>
                <w:sz w:val="17"/>
              </w:rPr>
              <w:t xml:space="preserve"> (Регламент (ЕС) 2016/679): </w:t>
            </w:r>
            <w:r>
              <w:rPr>
                <w:b w:val="0"/>
                <w:i w:val="0"/>
                <w:sz w:val="19"/>
              </w:rPr>
              <w:t>лични данни в градските системи (паркиране, камери, мобилност).</w:t>
            </w:r>
          </w:p>
          <w:p>
            <w:pPr>
              <w:spacing w:before="20" w:after="60"/>
            </w:pPr>
            <w:r>
              <w:rPr>
                <w:b/>
                <w:i w:val="0"/>
                <w:color w:val="2F3F9E"/>
                <w:sz w:val="19"/>
              </w:rPr>
              <w:t>Законодателен акт за ИИ</w:t>
            </w:r>
            <w:r>
              <w:rPr>
                <w:b w:val="0"/>
                <w:i w:val="0"/>
                <w:color w:val="646B82"/>
                <w:sz w:val="17"/>
              </w:rPr>
              <w:t xml:space="preserve"> (Регламент (ЕС) 2024/1689): </w:t>
            </w:r>
            <w:r>
              <w:rPr>
                <w:b w:val="0"/>
                <w:i w:val="0"/>
                <w:sz w:val="19"/>
              </w:rPr>
              <w:t>правила за системи с изкуствен интелект; приложимо за модели с ИИ в цифровите двойници.</w:t>
            </w:r>
          </w:p>
          <w:p>
            <w:pPr>
              <w:spacing w:before="20" w:after="60"/>
            </w:pPr>
            <w:r>
              <w:rPr>
                <w:b w:val="0"/>
                <w:i/>
                <w:color w:val="646B82"/>
                <w:sz w:val="17"/>
              </w:rPr>
              <w:t>Само за ориентир. Проверете как страната ви е въвела всеки акт в националното право.</w:t>
            </w:r>
          </w:p>
        </w:tc>
      </w:tr>
    </w:tbl>
    <w:p>
      <w:r>
        <w:br w:type="page"/>
      </w:r>
    </w:p>
    <w:p>
      <w:pPr>
        <w:spacing w:before="120" w:after="160"/>
      </w:pPr>
      <w:r>
        <w:rPr>
          <w:b/>
          <w:i w:val="0"/>
          <w:color w:val="2F3F9E"/>
          <w:sz w:val="36"/>
        </w:rPr>
        <w:t>Как да използвате тази брошура</w:t>
      </w:r>
    </w:p>
    <w:p>
      <w:pPr>
        <w:spacing w:before="40" w:after="120"/>
      </w:pPr>
      <w:r>
        <w:rPr>
          <w:b/>
          <w:i w:val="0"/>
          <w:color w:val="2F3F9E"/>
          <w:sz w:val="22"/>
        </w:rPr>
        <w:t xml:space="preserve">1. Подготовка  </w:t>
      </w:r>
      <w:r>
        <w:rPr>
          <w:b w:val="0"/>
          <w:i w:val="0"/>
          <w:sz w:val="20"/>
        </w:rPr>
        <w:t>Прочетете седемте контролни списъка. Отбележете приложимите за вашата поръчка. Повечето процедури изискват MIM0, MIM1, MIM2 и MIM6; добавете MIM3, когато данните се споделят с трети страни или чрез портал за данни, MIM7 за всичко с карта, MIM8 за цифрови двойници.</w:t>
      </w:r>
    </w:p>
    <w:p>
      <w:pPr>
        <w:spacing w:before="40" w:after="120"/>
      </w:pPr>
      <w:r>
        <w:rPr>
          <w:b/>
          <w:i w:val="0"/>
          <w:color w:val="2F3F9E"/>
          <w:sz w:val="22"/>
        </w:rPr>
        <w:t xml:space="preserve">2. Обявление  </w:t>
      </w:r>
      <w:r>
        <w:rPr>
          <w:b w:val="0"/>
          <w:i w:val="0"/>
          <w:sz w:val="20"/>
        </w:rPr>
        <w:t>Копирайте отбелязаните точки във вашите изисквания. Всяка точка е формулирана като готово изречение. Добавете хоризонталните клаузи: те струват малко и предотвратяват зависимостта от доставчик.</w:t>
      </w:r>
    </w:p>
    <w:p>
      <w:pPr>
        <w:spacing w:before="40" w:after="120"/>
      </w:pPr>
      <w:r>
        <w:rPr>
          <w:b/>
          <w:i w:val="0"/>
          <w:color w:val="2F3F9E"/>
          <w:sz w:val="22"/>
        </w:rPr>
        <w:t xml:space="preserve">3. Оценка  </w:t>
      </w:r>
      <w:r>
        <w:rPr>
          <w:b w:val="0"/>
          <w:i w:val="0"/>
          <w:sz w:val="20"/>
        </w:rPr>
        <w:t>Изисквайте от участниците да докажат, а не просто да обещаят (вижте клаузата с това име). Проверете съответствието спрямо таблицата за съответствие, попълнена от участника.</w:t>
      </w:r>
    </w:p>
    <w:p>
      <w:pPr>
        <w:spacing w:before="40" w:after="120"/>
      </w:pPr>
      <w:r>
        <w:rPr>
          <w:b/>
          <w:i w:val="0"/>
          <w:color w:val="2F3F9E"/>
          <w:sz w:val="22"/>
        </w:rPr>
        <w:t xml:space="preserve">4. Приемане  </w:t>
      </w:r>
      <w:r>
        <w:rPr>
          <w:b w:val="0"/>
          <w:i w:val="0"/>
          <w:sz w:val="20"/>
        </w:rPr>
        <w:t>При приемането тествайте отново всяка отбелязана точка. Изискване, което не се тества при предаването, реално никога не е било изискване.</w:t>
      </w:r>
    </w:p>
    <w:p>
      <w:pPr>
        <w:spacing w:before="200" w:after="80"/>
      </w:pPr>
      <w:r>
        <w:rPr>
          <w:b/>
          <w:i w:val="0"/>
          <w:color w:val="0B7485"/>
          <w:sz w:val="22"/>
        </w:rPr>
        <w:t>Разчитане на цитатите от спецификацията</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ТАКОВА Е / ДЛЪЖЕН Е (SHALL / MUST)</w:t>
            </w:r>
            <w:r>
              <w:rPr>
                <w:b w:val="0"/>
                <w:i w:val="0"/>
                <w:sz w:val="19"/>
              </w:rPr>
              <w:t xml:space="preserve">  задължително. Системата не съответства без него.</w:t>
            </w:r>
          </w:p>
          <w:p>
            <w:pPr>
              <w:spacing w:before="20" w:after="60"/>
            </w:pPr>
            <w:r>
              <w:rPr>
                <w:b/>
                <w:i w:val="0"/>
                <w:color w:val="2F3F9E"/>
                <w:sz w:val="19"/>
              </w:rPr>
              <w:t xml:space="preserve">•  </w:t>
            </w:r>
            <w:r>
              <w:rPr>
                <w:b/>
                <w:i w:val="0"/>
                <w:color w:val="2F3F9E"/>
                <w:sz w:val="19"/>
                <w:highlight w:val="yellow"/>
              </w:rPr>
              <w:t>НЕ ТРЯБВА (MUST NOT)</w:t>
            </w:r>
            <w:r>
              <w:rPr>
                <w:b w:val="0"/>
                <w:i w:val="0"/>
                <w:sz w:val="19"/>
              </w:rPr>
              <w:t xml:space="preserve">  забранено. Система, която го прави, не съответства.</w:t>
            </w:r>
          </w:p>
          <w:p>
            <w:pPr>
              <w:spacing w:before="20" w:after="60"/>
            </w:pPr>
            <w:r>
              <w:rPr>
                <w:b/>
                <w:i w:val="0"/>
                <w:color w:val="2F3F9E"/>
                <w:sz w:val="19"/>
              </w:rPr>
              <w:t xml:space="preserve">•  </w:t>
            </w:r>
            <w:r>
              <w:rPr>
                <w:b/>
                <w:i w:val="0"/>
                <w:color w:val="2F3F9E"/>
                <w:sz w:val="19"/>
                <w:highlight w:val="yellow"/>
              </w:rPr>
              <w:t>ПРЕПОРЪЧИТЕЛНО Е (SHOULD)</w:t>
            </w:r>
            <w:r>
              <w:rPr>
                <w:b w:val="0"/>
                <w:i w:val="0"/>
                <w:sz w:val="19"/>
              </w:rPr>
              <w:t xml:space="preserve">  силно препоръчително. Отклоненията изискват солидна писмена обосновка.</w:t>
            </w:r>
          </w:p>
          <w:p>
            <w:pPr>
              <w:spacing w:before="20" w:after="60"/>
            </w:pPr>
            <w:r>
              <w:rPr>
                <w:b/>
                <w:i w:val="0"/>
                <w:color w:val="2F3F9E"/>
                <w:sz w:val="19"/>
              </w:rPr>
              <w:t xml:space="preserve">•  </w:t>
            </w:r>
            <w:r>
              <w:rPr>
                <w:b/>
                <w:i w:val="0"/>
                <w:color w:val="2F3F9E"/>
                <w:sz w:val="19"/>
                <w:highlight w:val="yellow"/>
              </w:rPr>
              <w:t>МОЖЕ (MAY)</w:t>
            </w:r>
            <w:r>
              <w:rPr>
                <w:b w:val="0"/>
                <w:i w:val="0"/>
                <w:sz w:val="19"/>
              </w:rPr>
              <w:t xml:space="preserve">  незадължително. Желателно е, но не се изисква.</w:t>
            </w:r>
          </w:p>
          <w:p>
            <w:pPr>
              <w:spacing w:before="20" w:after="60"/>
            </w:pPr>
            <w:r>
              <w:rPr>
                <w:b/>
                <w:i w:val="0"/>
                <w:color w:val="2F3F9E"/>
                <w:sz w:val="19"/>
              </w:rPr>
              <w:t xml:space="preserve">•  </w:t>
            </w:r>
            <w:r>
              <w:rPr>
                <w:b/>
                <w:i w:val="0"/>
                <w:color w:val="2F3F9E"/>
                <w:sz w:val="19"/>
                <w:highlight w:val="yellow"/>
              </w:rPr>
              <w:t>ВЪЗМОЖНО Е (CAN)</w:t>
            </w:r>
            <w:r>
              <w:rPr>
                <w:b w:val="0"/>
                <w:i w:val="0"/>
                <w:sz w:val="19"/>
              </w:rPr>
              <w:t xml:space="preserve">  възможност, а не изискване. Посочва какво е изпълнимо и не задължава никого.</w:t>
            </w:r>
          </w:p>
          <w:p>
            <w:pPr>
              <w:spacing w:before="20" w:after="60"/>
            </w:pPr>
            <w:r>
              <w:rPr>
                <w:b w:val="0"/>
                <w:i w:val="0"/>
                <w:sz w:val="19"/>
              </w:rPr>
              <w:t>Точките от списъка формулират всяка позиция като изискване дори когато спецификацията само препоръчва (should) или изброява възможен механизъм. Това е решение на възложителя.</w:t>
            </w:r>
          </w:p>
        </w:tc>
      </w:tr>
    </w:tbl>
    <w:p>
      <w:pPr>
        <w:spacing w:before="160" w:after="80"/>
      </w:pPr>
      <w:r>
        <w:rPr>
          <w:b w:val="0"/>
          <w:i/>
          <w:color w:val="646B82"/>
          <w:sz w:val="18"/>
        </w:rPr>
        <w:t>Всяка точка от контролния списък съдържа малка препратка като → MIM0 R1.1. Това е изискването в MIMs Plus 9.0, от което произлиза; веднага след списъка ще намерите всяко изискване от този MIM дума по дума. Само MIM0 дефинира ключовите думи: те имат задължителен характер, когато са изписани с главни букви, по конвенцията на IETF RFC 2119 и RFC 8174 (CAN идва от Директивите на ISO/IEC, част 2). Другите MIM нямат дефиниция: MIM6 изписва SHALL предимно с главни букви, MIM2, MIM3, MIM7 и MIM8 пишат shall, should и must с малки букви, а MIM1 ги използва само в описанието на механизъм (MUST NOT в раздел 3.1). Тази брошура тълкува думите с малки букви по същия начин; участникът може да ги тълкува по-свободно.</w:t>
      </w:r>
    </w:p>
    <w:p>
      <w:r>
        <w:br w:type="page"/>
      </w:r>
    </w:p>
    <w:p>
      <w:pPr>
        <w:spacing w:before="120" w:after="160"/>
      </w:pPr>
      <w:r>
        <w:rPr>
          <w:b/>
          <w:i w:val="0"/>
          <w:color w:val="2F3F9E"/>
          <w:sz w:val="36"/>
        </w:rPr>
        <w:t>Седем MIM и три инструмента</w:t>
      </w:r>
    </w:p>
    <w:p>
      <w:pPr>
        <w:spacing w:before="40" w:after="200"/>
      </w:pPr>
      <w:r>
        <w:rPr>
          <w:b w:val="0"/>
          <w:i w:val="0"/>
          <w:sz w:val="21"/>
        </w:rPr>
        <w:t>Седем малки механизма, една цел: данните остават под контрола на общината и системите работят съвместно.</w:t>
      </w:r>
    </w:p>
    <w:p>
      <w:pPr>
        <w:spacing w:before="40" w:after="20"/>
      </w:pPr>
      <w:r>
        <w:rPr>
          <w:b/>
          <w:i w:val="0"/>
          <w:color w:val="2F3F9E"/>
          <w:sz w:val="20"/>
        </w:rPr>
        <w:t xml:space="preserve">MIM0  </w:t>
      </w:r>
      <w:r>
        <w:rPr>
          <w:b/>
          <w:i w:val="0"/>
          <w:sz w:val="20"/>
        </w:rPr>
        <w:t>Достъп до данни</w:t>
      </w:r>
    </w:p>
    <w:p>
      <w:pPr>
        <w:spacing w:before="40" w:after="20"/>
      </w:pPr>
      <w:r>
        <w:rPr>
          <w:b/>
          <w:i w:val="0"/>
          <w:color w:val="0B7485"/>
          <w:sz w:val="19"/>
        </w:rPr>
        <w:t xml:space="preserve">Можем ли да извлечем данните си?  </w:t>
      </w:r>
      <w:r>
        <w:rPr>
          <w:b w:val="0"/>
          <w:i w:val="0"/>
          <w:sz w:val="19"/>
        </w:rPr>
        <w:t>Данните се извличат чрез стандартни уеб API в машинночетими формати.</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Свързване на данни</w:t>
      </w:r>
    </w:p>
    <w:p>
      <w:pPr>
        <w:spacing w:before="40" w:after="20"/>
      </w:pPr>
      <w:r>
        <w:rPr>
          <w:b/>
          <w:i w:val="0"/>
          <w:color w:val="0B7485"/>
          <w:sz w:val="19"/>
        </w:rPr>
        <w:t xml:space="preserve">Всяко нещо има ли трайно наименование?  </w:t>
      </w:r>
      <w:r>
        <w:rPr>
          <w:b w:val="0"/>
          <w:i w:val="0"/>
          <w:sz w:val="19"/>
        </w:rPr>
        <w:t>Всеки сензор, стълб и сграда има уникален, постоянен идентификатор.</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Представяне на данни</w:t>
      </w:r>
    </w:p>
    <w:p>
      <w:pPr>
        <w:spacing w:before="40" w:after="20"/>
      </w:pPr>
      <w:r>
        <w:rPr>
          <w:b/>
          <w:i w:val="0"/>
          <w:color w:val="0B7485"/>
          <w:sz w:val="19"/>
        </w:rPr>
        <w:t xml:space="preserve">Говорим ли на общ език?  </w:t>
      </w:r>
      <w:r>
        <w:rPr>
          <w:b w:val="0"/>
          <w:i w:val="0"/>
          <w:sz w:val="19"/>
        </w:rPr>
        <w:t>Данните следват стандартни, документирани модели с ясни мерни единици.</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Обмен на данни</w:t>
      </w:r>
    </w:p>
    <w:p>
      <w:pPr>
        <w:spacing w:before="40" w:after="20"/>
      </w:pPr>
      <w:r>
        <w:rPr>
          <w:b/>
          <w:i w:val="0"/>
          <w:color w:val="0B7485"/>
          <w:sz w:val="19"/>
        </w:rPr>
        <w:t xml:space="preserve">Можем ли да споделяме при ясни условия?  </w:t>
      </w:r>
      <w:r>
        <w:rPr>
          <w:b w:val="0"/>
          <w:i w:val="0"/>
          <w:sz w:val="19"/>
        </w:rPr>
        <w:t>Наборите от данни са каталогизирани и се споделят по типови лицензи и ясно управление.</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Защита на данни</w:t>
      </w:r>
    </w:p>
    <w:p>
      <w:pPr>
        <w:spacing w:before="40" w:after="20"/>
      </w:pPr>
      <w:r>
        <w:rPr>
          <w:b/>
          <w:i w:val="0"/>
          <w:color w:val="0B7485"/>
          <w:sz w:val="19"/>
        </w:rPr>
        <w:t xml:space="preserve">Защитени ли са данните ни?  </w:t>
      </w:r>
      <w:r>
        <w:rPr>
          <w:b w:val="0"/>
          <w:i w:val="0"/>
          <w:sz w:val="19"/>
        </w:rPr>
        <w:t>Криптиран пренос, стандартен вход, роли за достъп, одитни журнали.</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Геопространствени данни</w:t>
      </w:r>
    </w:p>
    <w:p>
      <w:pPr>
        <w:spacing w:before="40" w:after="20"/>
      </w:pPr>
      <w:r>
        <w:rPr>
          <w:b/>
          <w:i w:val="0"/>
          <w:color w:val="0B7485"/>
          <w:sz w:val="19"/>
        </w:rPr>
        <w:t xml:space="preserve">Работи ли върху карта?  </w:t>
      </w:r>
      <w:r>
        <w:rPr>
          <w:b w:val="0"/>
          <w:i w:val="0"/>
          <w:sz w:val="19"/>
        </w:rPr>
        <w:t>Пространствените данни използват OGC интерфейси, отворени формати и обявени координатни системи.</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Местни цифрови двойници</w:t>
      </w:r>
    </w:p>
    <w:p>
      <w:pPr>
        <w:spacing w:before="40" w:after="20"/>
      </w:pPr>
      <w:r>
        <w:rPr>
          <w:b/>
          <w:i w:val="0"/>
          <w:color w:val="0B7485"/>
          <w:sz w:val="19"/>
        </w:rPr>
        <w:t xml:space="preserve">Може ли цифровият ни двойник да се развива?  </w:t>
      </w:r>
      <w:r>
        <w:rPr>
          <w:b w:val="0"/>
          <w:i w:val="0"/>
          <w:sz w:val="19"/>
        </w:rPr>
        <w:t>Данните, моделите и резултатите на двойника остават достъпни, документирани и преизползваеми.</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Инструменти за вашата поръчка</w:t>
      </w:r>
    </w:p>
    <w:p>
      <w:pPr>
        <w:spacing w:before="40" w:after="20"/>
      </w:pPr>
      <w:r>
        <w:rPr>
          <w:b/>
          <w:i w:val="0"/>
          <w:color w:val="2F3F9E"/>
          <w:sz w:val="20"/>
        </w:rPr>
        <w:t>Хоризонтални договорни клаузи</w:t>
      </w:r>
    </w:p>
    <w:p>
      <w:pPr>
        <w:spacing w:before="40" w:after="120"/>
      </w:pPr>
      <w:r>
        <w:rPr>
          <w:b/>
          <w:i w:val="0"/>
          <w:color w:val="0B7485"/>
          <w:sz w:val="19"/>
        </w:rPr>
        <w:t xml:space="preserve">Какво трябва да съдържа всеки договор?  </w:t>
      </w:r>
      <w:r>
        <w:rPr>
          <w:b w:val="0"/>
          <w:i w:val="0"/>
          <w:sz w:val="19"/>
        </w:rPr>
        <w:t>Изход, права върху данните, стабилност на API.</w:t>
      </w:r>
    </w:p>
    <w:p>
      <w:pPr>
        <w:spacing w:before="40" w:after="20"/>
      </w:pPr>
      <w:r>
        <w:rPr>
          <w:b/>
          <w:i w:val="0"/>
          <w:color w:val="2F3F9E"/>
          <w:sz w:val="20"/>
        </w:rPr>
        <w:t>Пример: сензори за качество на въздуха</w:t>
      </w:r>
    </w:p>
    <w:p>
      <w:pPr>
        <w:spacing w:before="40" w:after="120"/>
      </w:pPr>
      <w:r>
        <w:rPr>
          <w:b/>
          <w:i w:val="0"/>
          <w:color w:val="0B7485"/>
          <w:sz w:val="19"/>
        </w:rPr>
        <w:t xml:space="preserve">Как изглежда това на практика?  </w:t>
      </w:r>
      <w:r>
        <w:rPr>
          <w:b w:val="0"/>
          <w:i w:val="0"/>
          <w:sz w:val="19"/>
        </w:rPr>
        <w:t>Какво къде се поставя и примерен текст за копиране.</w:t>
      </w:r>
    </w:p>
    <w:p>
      <w:pPr>
        <w:spacing w:before="40" w:after="20"/>
      </w:pPr>
      <w:r>
        <w:rPr>
          <w:b/>
          <w:i w:val="0"/>
          <w:color w:val="2F3F9E"/>
          <w:sz w:val="20"/>
        </w:rPr>
        <w:t>Таблица за съответствие</w:t>
      </w:r>
    </w:p>
    <w:p>
      <w:pPr>
        <w:spacing w:before="40" w:after="120"/>
      </w:pPr>
      <w:r>
        <w:rPr>
          <w:b/>
          <w:i w:val="0"/>
          <w:color w:val="0B7485"/>
          <w:sz w:val="19"/>
        </w:rPr>
        <w:t xml:space="preserve">Как го доказва участникът?  </w:t>
      </w:r>
      <w:r>
        <w:rPr>
          <w:b w:val="0"/>
          <w:i w:val="0"/>
          <w:sz w:val="19"/>
        </w:rPr>
        <w:t>Попълва се от участника, проверява се от комисията, прилага се към договора.</w:t>
      </w:r>
    </w:p>
    <w:p>
      <w:pPr>
        <w:spacing w:before="80" w:after="80"/>
      </w:pPr>
      <w:r>
        <w:rPr>
          <w:b w:val="0"/>
          <w:i/>
          <w:color w:val="646B82"/>
          <w:sz w:val="18"/>
        </w:rPr>
        <w:t>Относно номерацията: MIMs Plus 9.0 определя седем механизма с номера 0, 1, 2, 3, 6, 7 и 8. MIM4 (лични данни) и MIM5 (справедлив ИИ) принадлежат към по-ранни версии на OASC и не са част от 9.0. В тази брошура нищо не липсва.</w:t>
      </w:r>
    </w:p>
    <w:p>
      <w:r>
        <w:br w:type="page"/>
      </w:r>
    </w:p>
    <w:p>
      <w:pPr>
        <w:spacing w:before="120" w:after="40"/>
      </w:pPr>
      <w:r>
        <w:rPr>
          <w:b/>
          <w:i w:val="0"/>
          <w:color w:val="2F3F9E"/>
          <w:sz w:val="36"/>
        </w:rPr>
        <w:t>MIM0 · Можем ли да извлечем данните си?</w:t>
      </w:r>
    </w:p>
    <w:p>
      <w:pPr>
        <w:spacing w:before="40" w:after="40"/>
      </w:pPr>
      <w:r>
        <w:rPr>
          <w:b w:val="0"/>
          <w:i w:val="0"/>
          <w:color w:val="646B82"/>
          <w:sz w:val="20"/>
        </w:rPr>
        <w:t xml:space="preserve">Достъп до данни   </w:t>
      </w:r>
      <w:hyperlink r:id="rId13">
        <w:r>
          <w:rPr>
            <w:color w:val="2F3F9E"/>
            <w:u w:val="single"/>
            <w:sz w:val="17.0"/>
          </w:rPr>
          <w:t>mims.oascities.org/accessing-data</w:t>
        </w:r>
      </w:hyperlink>
    </w:p>
    <w:p>
      <w:pPr>
        <w:spacing w:before="120" w:after="200"/>
      </w:pPr>
      <w:r>
        <w:rPr>
          <w:b w:val="0"/>
          <w:i w:val="0"/>
          <w:sz w:val="20"/>
        </w:rPr>
        <w:t>Това е основата. Ако данните не могат да напуснат системата през стандартен интерфейс, всичко останало в тази брошура е теория. MIM0 изисква едно нещо от всяка система, която купувате: данните трябва да бъдат достъпни, в машинночетим формат, чрез обичайната уеб мрежа.</w:t>
      </w:r>
    </w:p>
    <w:p>
      <w:pPr>
        <w:spacing w:before="40" w:after="20"/>
      </w:pPr>
      <w:r>
        <w:rPr>
          <w:b/>
          <w:i w:val="0"/>
          <w:color w:val="2F3F9E"/>
          <w:sz w:val="22"/>
        </w:rPr>
        <w:t xml:space="preserve">☐  </w:t>
      </w:r>
      <w:r>
        <w:rPr>
          <w:b/>
          <w:i w:val="0"/>
          <w:color w:val="2F3F9E"/>
          <w:sz w:val="20"/>
        </w:rPr>
        <w:t xml:space="preserve">0.1  </w:t>
      </w:r>
      <w:r>
        <w:rPr>
          <w:b/>
          <w:i w:val="0"/>
          <w:sz w:val="20"/>
        </w:rPr>
        <w:t>Всички данни, които системата събира или произвежда, могат да се извличат в поне един машинночетим формат (напр. JSON, CSV) през стандартен уеб API.</w:t>
      </w:r>
    </w:p>
    <w:p>
      <w:pPr>
        <w:spacing w:before="40" w:after="140"/>
      </w:pPr>
      <w:r>
        <w:rPr>
          <w:b w:val="0"/>
          <w:i/>
          <w:color w:val="646B82"/>
          <w:sz w:val="18"/>
        </w:rPr>
        <w:t xml:space="preserve">Следващият ви изпълнител — или собственият ви екип — може да използва данните, без да пита доставчика.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 е формално описан в отворен, машинночетим документ (например OpenAPI), публикуван на постоянен адрес.</w:t>
      </w:r>
    </w:p>
    <w:p>
      <w:pPr>
        <w:spacing w:before="40" w:after="140"/>
      </w:pPr>
      <w:r>
        <w:rPr>
          <w:b w:val="0"/>
          <w:i/>
          <w:color w:val="646B82"/>
          <w:sz w:val="18"/>
        </w:rPr>
        <w:t xml:space="preserve">Всеки разработчик може да се свърже без платени консултантски услуги за интеграция.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Данните могат да се филтрират по време, място и атрибути директно в API.</w:t>
      </w:r>
    </w:p>
    <w:p>
      <w:pPr>
        <w:spacing w:before="40" w:after="140"/>
      </w:pPr>
      <w:r>
        <w:rPr>
          <w:b w:val="0"/>
          <w:i/>
          <w:color w:val="646B82"/>
          <w:sz w:val="18"/>
        </w:rPr>
        <w:t xml:space="preserve">Извличате само необходимото, а не пълен архив всяка нощ.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Когато случаят на употреба изисква актуални данни, потребителите могат да се абонират за промени (уебхукове, MQTT или подобни) вместо периодични заявки (polling).</w:t>
      </w:r>
    </w:p>
    <w:p>
      <w:pPr>
        <w:spacing w:before="40" w:after="140"/>
      </w:pPr>
      <w:r>
        <w:rPr>
          <w:b w:val="0"/>
          <w:i/>
          <w:color w:val="646B82"/>
          <w:sz w:val="18"/>
        </w:rPr>
        <w:t xml:space="preserve">Информационните табла в реално време и сигналите стават възможни и евтини.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Грешките, кеширането и ограниченията на заявките следват стандартните HTTP конвенции и са документирани.</w:t>
      </w:r>
    </w:p>
    <w:p>
      <w:pPr>
        <w:spacing w:before="40" w:after="140"/>
      </w:pPr>
      <w:r>
        <w:rPr>
          <w:b w:val="0"/>
          <w:i/>
          <w:color w:val="646B82"/>
          <w:sz w:val="18"/>
        </w:rPr>
        <w:t xml:space="preserve">Интеграциите сигнализират за грешки ясно и поправимо, а не безмълвно.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ЗАЩО ТОВА Е ВАЖНО</w:t>
            </w:r>
          </w:p>
          <w:p>
            <w:pPr>
              <w:spacing w:before="20" w:after="60"/>
            </w:pPr>
            <w:r>
              <w:rPr>
                <w:b/>
                <w:i w:val="0"/>
                <w:color w:val="2F3F9E"/>
                <w:sz w:val="18"/>
              </w:rPr>
              <w:t xml:space="preserve">•  </w:t>
            </w:r>
            <w:r>
              <w:rPr>
                <w:b w:val="0"/>
                <w:i w:val="0"/>
                <w:sz w:val="18"/>
              </w:rPr>
              <w:t>Данните, за които сте платили, остават използваеми след края на договора.</w:t>
            </w:r>
          </w:p>
          <w:p>
            <w:pPr>
              <w:spacing w:before="20" w:after="60"/>
            </w:pPr>
            <w:r>
              <w:rPr>
                <w:b/>
                <w:i w:val="0"/>
                <w:color w:val="2F3F9E"/>
                <w:sz w:val="18"/>
              </w:rPr>
              <w:t xml:space="preserve">•  </w:t>
            </w:r>
            <w:r>
              <w:rPr>
                <w:b w:val="0"/>
                <w:i w:val="0"/>
                <w:sz w:val="18"/>
              </w:rPr>
              <w:t>Новите услуги надграждат старите данни, вместо да започват от нулата.</w:t>
            </w:r>
          </w:p>
          <w:p>
            <w:pPr>
              <w:spacing w:before="20" w:after="60"/>
            </w:pPr>
            <w:r>
              <w:rPr>
                <w:b/>
                <w:i w:val="0"/>
                <w:color w:val="2F3F9E"/>
                <w:sz w:val="18"/>
              </w:rPr>
              <w:t xml:space="preserve">•  </w:t>
            </w:r>
            <w:r>
              <w:rPr>
                <w:b w:val="0"/>
                <w:i w:val="0"/>
                <w:sz w:val="18"/>
              </w:rPr>
              <w:t>Разходите за интеграция намаляват за всеки следващ проект.</w:t>
            </w:r>
          </w:p>
        </w:tc>
        <w:tc>
          <w:tcPr>
            <w:tcW w:type="dxa" w:w="4986"/>
            <w:shd w:val="clear" w:fill="FBEEEE"/>
          </w:tcPr>
          <w:p>
            <w:pPr>
              <w:spacing w:before="20" w:after="60"/>
            </w:pPr>
            <w:r>
              <w:rPr>
                <w:b/>
                <w:i w:val="0"/>
                <w:color w:val="A02020"/>
                <w:sz w:val="18"/>
              </w:rPr>
              <w:t>ЧЕРВЕНИ ФЛАГОВЕ</w:t>
            </w:r>
          </w:p>
          <w:p>
            <w:pPr>
              <w:spacing w:before="20" w:after="60"/>
            </w:pPr>
            <w:r>
              <w:rPr>
                <w:b/>
                <w:i w:val="0"/>
                <w:color w:val="A02020"/>
                <w:sz w:val="18"/>
              </w:rPr>
              <w:t xml:space="preserve">•  </w:t>
            </w:r>
            <w:r>
              <w:rPr>
                <w:b w:val="0"/>
                <w:i w:val="0"/>
                <w:sz w:val="18"/>
              </w:rPr>
              <w:t>„Експорт на данни при поискване чрез нашия екип за поддръжка.“</w:t>
            </w:r>
          </w:p>
          <w:p>
            <w:pPr>
              <w:spacing w:before="20" w:after="60"/>
            </w:pPr>
            <w:r>
              <w:rPr>
                <w:b/>
                <w:i w:val="0"/>
                <w:color w:val="A02020"/>
                <w:sz w:val="18"/>
              </w:rPr>
              <w:t xml:space="preserve">•  </w:t>
            </w:r>
            <w:r>
              <w:rPr>
                <w:b w:val="0"/>
                <w:i w:val="0"/>
                <w:sz w:val="18"/>
              </w:rPr>
              <w:t>„API се предлага като платен допълнителен модул.“</w:t>
            </w:r>
          </w:p>
          <w:p>
            <w:pPr>
              <w:spacing w:before="20" w:after="60"/>
            </w:pPr>
            <w:r>
              <w:rPr>
                <w:b/>
                <w:i w:val="0"/>
                <w:color w:val="A02020"/>
                <w:sz w:val="18"/>
              </w:rPr>
              <w:t xml:space="preserve">•  </w:t>
            </w:r>
            <w:r>
              <w:rPr>
                <w:b w:val="0"/>
                <w:i w:val="0"/>
                <w:sz w:val="18"/>
              </w:rPr>
              <w:t>Таксуване за всяка заявка за собствените данни на общината (вижте клаузата „Без такси за собствени данни“).</w:t>
            </w:r>
          </w:p>
        </w:tc>
      </w:tr>
    </w:tbl>
    <w:p>
      <w:pPr>
        <w:spacing w:before="280" w:after="40"/>
      </w:pPr>
      <w:r>
        <w:rPr>
          <w:b/>
          <w:i w:val="0"/>
          <w:color w:val="2F3F9E"/>
          <w:sz w:val="26"/>
        </w:rPr>
        <w:t>Какво казва спецификацията</w:t>
      </w:r>
    </w:p>
    <w:p>
      <w:pPr>
        <w:spacing w:before="40" w:after="120"/>
      </w:pPr>
      <w:r>
        <w:rPr>
          <w:b w:val="0"/>
          <w:i w:val="0"/>
          <w:color w:val="646B82"/>
          <w:sz w:val="18"/>
        </w:rPr>
        <w:t>Всяко изискване от този MIM, буквално от MIMs Plus 9.0: Спецификацията съществува само на английски език: българският текст е неофициален превод от автора на тази брошура; английският оригинал под него има обвързваща сила.</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Машинночетими данни могат да се извличат през уеб мрежата</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Системите ТАКОВА Е ДА позволяват извличане на данни в поне един машинночетим формат. Форматите ВЪЗМОЖНО Е да се определят чрез HTTP договаряне на съдържанието</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Данните ТАКОВА Е ДА могат да се извличат чрез поне един стандартен уеб базиран механизъм</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Механизмът/механизмите за достъп ТАКОВА Е ДА бъдат формално описани</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Препоръчително е да се определят моделите на данни, използвани от полезните товари (вж.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Достъпът е структуриран и подлежи на заявки</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Системите ТАКОВА Е ДА предоставят данни чрез структуриран и последователен интерфейс</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Системите ТАКОВА Е ДА поддържат базови заявки и/или филтриране (напр. по време, местоположение, атрибути)</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Допълнителни добри практики, които да се вземат предвид:</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ПРЕПОРЪЧИТЕЛНО Е приложните програмни интерфейси (API) да поддържат извличане на текущи данни</w:t>
              <w:br/>
              <w:t>ПРЕПОРЪЧИТЕЛНО Е API да поддържат извличане на исторически данни, когато е приложимо</w:t>
              <w:br/>
              <w:t>ПРЕПОРЪЧИТЕЛНО Е API да поддържат геопространствени заявки, когато е приложимо (вж. MIM7)</w:t>
              <w:br/>
              <w:t>ПРЕПОРЪЧИТЕЛНО Е API да поддържат абонамент за промени, когато е приложимо</w:t>
              <w:br/>
              <w:t>ПРЕПОРЪЧИТЕЛНО Е API да показват времеви печат за следващата очаквана актуализация</w:t>
              <w:br/>
              <w:t>ПРЕПОРЪЧИТЕЛНО Е API да поддържат изрично версиониране на крайните точки</w:t>
              <w:br/>
              <w:t>ПРЕПОРЪЧИТЕЛНО Е API да предоставят примерни полезни товари или тестови заявки</w:t>
              <w:br/>
              <w:t>ПРЕПОРЪЧИТЕЛНО Е API да поддържат стандартни HTTP заглавки за кеширане</w:t>
              <w:br/>
              <w:t>ПРЕПОРЪЧИТЕЛНО Е API да съобщават състоянието на лимита на заявките чрез стандартни HTTP заглавки</w:t>
              <w:br/>
              <w:t>ПРЕПОРЪЧИТЕЛНО Е API да връщат структурирано съдържание на грешките</w:t>
              <w:br/>
              <w:t>МОЖЕ API да поддържат частични отговори или проекции на заявките</w:t>
              <w:br/>
              <w:t>МОЖЕ API да предоставят стандартна крайна точка за изправност/състояние</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Може да се направи абонамент за промени в данните</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Системите за случаи на употреба, изискващи известия, ТАКОВА Е ДА предоставят поне един механизъм за получаване на актуализации при промени в данните</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МОЖЕ системите да поддържат множество механизми за абонамент в зависимост от случая на употреба</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Достъпът до информация може да бъде ограничаван</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Ако съществуват такива ограничения, те ТАКОВА Е ДА следват изискванията, определени в MIM3 и MIM6, конкретно: идентификация на участника (MIM3.C5.R0), авторизация и роли на участника (MIM6.C1.R4), политики на ниво актив от данни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Пълна спецификация: </w:t>
      </w:r>
      <w:hyperlink r:id="rId13">
        <w:r>
          <w:rPr>
            <w:color w:val="2F3F9E"/>
            <w:u w:val="single"/>
            <w:sz w:val="18"/>
          </w:rPr>
          <w:t>https://mims.oascities.org/accessing-data</w:t>
        </w:r>
      </w:hyperlink>
    </w:p>
    <w:p>
      <w:r>
        <w:br w:type="page"/>
      </w:r>
    </w:p>
    <w:p>
      <w:pPr>
        <w:spacing w:before="120" w:after="40"/>
      </w:pPr>
      <w:r>
        <w:rPr>
          <w:b/>
          <w:i w:val="0"/>
          <w:color w:val="2F3F9E"/>
          <w:sz w:val="36"/>
        </w:rPr>
        <w:t>MIM1 · Всяко нещо има ли трайно наименование?</w:t>
      </w:r>
    </w:p>
    <w:p>
      <w:pPr>
        <w:spacing w:before="40" w:after="40"/>
      </w:pPr>
      <w:r>
        <w:rPr>
          <w:b w:val="0"/>
          <w:i w:val="0"/>
          <w:color w:val="646B82"/>
          <w:sz w:val="20"/>
        </w:rPr>
        <w:t xml:space="preserve">Свързване на данни   </w:t>
      </w:r>
      <w:hyperlink r:id="rId14">
        <w:r>
          <w:rPr>
            <w:color w:val="2F3F9E"/>
            <w:u w:val="single"/>
            <w:sz w:val="17.0"/>
          </w:rPr>
          <w:t>mims.oascities.org/interlinking-data</w:t>
        </w:r>
      </w:hyperlink>
    </w:p>
    <w:p>
      <w:pPr>
        <w:spacing w:before="120" w:after="200"/>
      </w:pPr>
      <w:r>
        <w:rPr>
          <w:b w:val="0"/>
          <w:i w:val="0"/>
          <w:sz w:val="20"/>
        </w:rPr>
        <w:t>Градът е пълен с обекти: осветителни тела, тръби, сгради, паркоместа. Системите се сменят, но обектите остават. MIM1 изисква всеки обект да получи наименование — идентификатор, — което надживява софтуера, който първоначално го е записал, така че неговата история и връзките му с други данни да оцелеят при всяка миграция.</w:t>
      </w:r>
    </w:p>
    <w:p>
      <w:pPr>
        <w:spacing w:before="40" w:after="20"/>
      </w:pPr>
      <w:r>
        <w:rPr>
          <w:b/>
          <w:i w:val="0"/>
          <w:color w:val="2F3F9E"/>
          <w:sz w:val="22"/>
        </w:rPr>
        <w:t xml:space="preserve">☐  </w:t>
      </w:r>
      <w:r>
        <w:rPr>
          <w:b/>
          <w:i w:val="0"/>
          <w:color w:val="2F3F9E"/>
          <w:sz w:val="20"/>
        </w:rPr>
        <w:t xml:space="preserve">1.1  </w:t>
      </w:r>
      <w:r>
        <w:rPr>
          <w:b/>
          <w:i w:val="0"/>
          <w:sz w:val="20"/>
        </w:rPr>
        <w:t>Всеки обект (сензор, стълб, сграда, паркомясто…) има уникален, постоянен идентификатор, който не се променя при подмяна на софтуера.</w:t>
      </w:r>
    </w:p>
    <w:p>
      <w:pPr>
        <w:spacing w:before="40" w:after="140"/>
      </w:pPr>
      <w:r>
        <w:rPr>
          <w:b w:val="0"/>
          <w:i/>
          <w:color w:val="646B82"/>
          <w:sz w:val="18"/>
        </w:rPr>
        <w:t xml:space="preserve">Историята и връзките между системите оцеляват след смяната на доставчика.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Идентификаторът може да бъде потърсен, за да се извлекат данните за обекта и неговият смисъл (тип) по машинночетим начин.</w:t>
      </w:r>
    </w:p>
    <w:p>
      <w:pPr>
        <w:spacing w:before="40" w:after="140"/>
      </w:pPr>
      <w:r>
        <w:rPr>
          <w:b w:val="0"/>
          <w:i/>
          <w:color w:val="646B82"/>
          <w:sz w:val="18"/>
        </w:rPr>
        <w:t xml:space="preserve">Други системи могат да проследят връзката автоматично.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Когато един и същ реален обект съществува в няколко системи, идентификаторите могат да се съпоставят един към друг.</w:t>
      </w:r>
    </w:p>
    <w:p>
      <w:pPr>
        <w:spacing w:before="40" w:after="140"/>
      </w:pPr>
      <w:r>
        <w:rPr>
          <w:b w:val="0"/>
          <w:i/>
          <w:color w:val="646B82"/>
          <w:sz w:val="18"/>
        </w:rPr>
        <w:t xml:space="preserve">Сградата в ГИС и сградата в енергийната система са доказуемо една и съща сграда.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Идентификаторите не съдържат вътрешни данни на доставчика (идентификатори на редове в база данни, имена на сървъри).</w:t>
      </w:r>
    </w:p>
    <w:p>
      <w:pPr>
        <w:spacing w:before="40" w:after="140"/>
      </w:pPr>
      <w:r>
        <w:rPr>
          <w:b w:val="0"/>
          <w:i/>
          <w:color w:val="646B82"/>
          <w:sz w:val="18"/>
        </w:rPr>
        <w:t xml:space="preserve">В противен случай идентификаторите губят валидност с изтичането на договора.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ЗАЩО ТОВА Е ВАЖНО</w:t>
            </w:r>
          </w:p>
          <w:p>
            <w:pPr>
              <w:spacing w:before="20" w:after="60"/>
            </w:pPr>
            <w:r>
              <w:rPr>
                <w:b/>
                <w:i w:val="0"/>
                <w:color w:val="2F3F9E"/>
                <w:sz w:val="18"/>
              </w:rPr>
              <w:t xml:space="preserve">•  </w:t>
            </w:r>
            <w:r>
              <w:rPr>
                <w:b w:val="0"/>
                <w:i w:val="0"/>
                <w:sz w:val="18"/>
              </w:rPr>
              <w:t>Десет години измервания остават прикрепени към правилния стълб.</w:t>
            </w:r>
          </w:p>
          <w:p>
            <w:pPr>
              <w:spacing w:before="20" w:after="60"/>
            </w:pPr>
            <w:r>
              <w:rPr>
                <w:b/>
                <w:i w:val="0"/>
                <w:color w:val="2F3F9E"/>
                <w:sz w:val="18"/>
              </w:rPr>
              <w:t xml:space="preserve">•  </w:t>
            </w:r>
            <w:r>
              <w:rPr>
                <w:b w:val="0"/>
                <w:i w:val="0"/>
                <w:sz w:val="18"/>
              </w:rPr>
              <w:t>Отделите спират да поддържат пет противоречиви регистъра за едни и същи активи.</w:t>
            </w:r>
          </w:p>
          <w:p>
            <w:pPr>
              <w:spacing w:before="20" w:after="60"/>
            </w:pPr>
            <w:r>
              <w:rPr>
                <w:b/>
                <w:i w:val="0"/>
                <w:color w:val="2F3F9E"/>
                <w:sz w:val="18"/>
              </w:rPr>
              <w:t xml:space="preserve">•  </w:t>
            </w:r>
            <w:r>
              <w:rPr>
                <w:b w:val="0"/>
                <w:i w:val="0"/>
                <w:sz w:val="18"/>
              </w:rPr>
              <w:t>Свързването на набори от данни става чрез обикновена заявка, а не чрез консултантски проект.</w:t>
            </w:r>
          </w:p>
        </w:tc>
        <w:tc>
          <w:tcPr>
            <w:tcW w:type="dxa" w:w="4986"/>
            <w:shd w:val="clear" w:fill="FBEEEE"/>
          </w:tcPr>
          <w:p>
            <w:pPr>
              <w:spacing w:before="20" w:after="60"/>
            </w:pPr>
            <w:r>
              <w:rPr>
                <w:b/>
                <w:i w:val="0"/>
                <w:color w:val="A02020"/>
                <w:sz w:val="18"/>
              </w:rPr>
              <w:t>ЧЕРВЕНИ ФЛАГОВЕ</w:t>
            </w:r>
          </w:p>
          <w:p>
            <w:pPr>
              <w:spacing w:before="20" w:after="60"/>
            </w:pPr>
            <w:r>
              <w:rPr>
                <w:b/>
                <w:i w:val="0"/>
                <w:color w:val="A02020"/>
                <w:sz w:val="18"/>
              </w:rPr>
              <w:t xml:space="preserve">•  </w:t>
            </w:r>
            <w:r>
              <w:rPr>
                <w:b w:val="0"/>
                <w:i w:val="0"/>
                <w:sz w:val="18"/>
              </w:rPr>
              <w:t>„Идентификаторите са вътрешни за нашата платформа.“</w:t>
            </w:r>
          </w:p>
          <w:p>
            <w:pPr>
              <w:spacing w:before="20" w:after="60"/>
            </w:pPr>
            <w:r>
              <w:rPr>
                <w:b/>
                <w:i w:val="0"/>
                <w:color w:val="A02020"/>
                <w:sz w:val="18"/>
              </w:rPr>
              <w:t xml:space="preserve">•  </w:t>
            </w:r>
            <w:r>
              <w:rPr>
                <w:b w:val="0"/>
                <w:i w:val="0"/>
                <w:sz w:val="18"/>
              </w:rPr>
              <w:t>Идентификаторите се генерират наново при всяка миграция на данни.</w:t>
            </w:r>
          </w:p>
        </w:tc>
      </w:tr>
    </w:tbl>
    <w:p>
      <w:pPr>
        <w:spacing w:before="280" w:after="40"/>
      </w:pPr>
      <w:r>
        <w:rPr>
          <w:b/>
          <w:i w:val="0"/>
          <w:color w:val="2F3F9E"/>
          <w:sz w:val="26"/>
        </w:rPr>
        <w:t>Какво казва спецификацията</w:t>
      </w:r>
    </w:p>
    <w:p>
      <w:pPr>
        <w:spacing w:before="40" w:after="120"/>
      </w:pPr>
      <w:r>
        <w:rPr>
          <w:b w:val="0"/>
          <w:i w:val="0"/>
          <w:color w:val="646B82"/>
          <w:sz w:val="18"/>
        </w:rPr>
        <w:t>Всяко изискване от този MIM, буквално от MIMs Plus 9.0: Спецификацията съществува само на английски език: българският текст е неофициален превод от автора на тази брошура; английският оригинал под него има обвързваща сила.</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Обектите се идентифицират чрез уникални идентификатори</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Всеки обект в системата има уникален идентификатор</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Съществува начин за извличане на информация за даден обект чрез справка по идентификатора в рамките на системата</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ако уникален идентификатор сочи към един и същ обект в множество системи, е възможно да се изведе начинът за търсене на информация за него във всяка от тези системи</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ако множество уникални идентификатори сочат към един и същ обект, е възможно те да бъдат съпоставени</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Възможно е създаването на идентификатори, които са постоянни във времето</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Обектите могат да бъдат типизирани</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Съществува начин за извличане на семантиката на даден обект, като се използва единствено неговият уникален идентификатор</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Тази семантика е описана в машинночетим формат</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Обектите могат да бъдат (де)реферирани</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Съществува начин за дерефериране на релация, дефинирана за даден обект</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Съществува начин за прилагане на допълнителна семантика към съществуваща онтология</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Механизъм 1, раздел 3.1: Идентификация на обекти с глобално уникални IRI</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 се третира като каноничен идентификатор във всички последващи системи; реализациите НЕ ТРЯБВА да генерират IRI, които съдържат непостоянни детайли по внедряването, като идентификатори на редове в база данни или имена на сървъри.</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Пълна спецификация: </w:t>
      </w:r>
      <w:hyperlink r:id="rId14">
        <w:r>
          <w:rPr>
            <w:color w:val="2F3F9E"/>
            <w:u w:val="single"/>
            <w:sz w:val="18"/>
          </w:rPr>
          <w:t>https://mims.oascities.org/interlinking-data</w:t>
        </w:r>
      </w:hyperlink>
    </w:p>
    <w:p>
      <w:r>
        <w:br w:type="page"/>
      </w:r>
    </w:p>
    <w:p>
      <w:pPr>
        <w:spacing w:before="120" w:after="40"/>
      </w:pPr>
      <w:r>
        <w:rPr>
          <w:b/>
          <w:i w:val="0"/>
          <w:color w:val="2F3F9E"/>
          <w:sz w:val="36"/>
        </w:rPr>
        <w:t>MIM2 · Говорим ли на общ език?</w:t>
      </w:r>
    </w:p>
    <w:p>
      <w:pPr>
        <w:spacing w:before="40" w:after="40"/>
      </w:pPr>
      <w:r>
        <w:rPr>
          <w:b w:val="0"/>
          <w:i w:val="0"/>
          <w:color w:val="646B82"/>
          <w:sz w:val="20"/>
        </w:rPr>
        <w:t xml:space="preserve">Представяне на данни   </w:t>
      </w:r>
      <w:hyperlink r:id="rId15">
        <w:r>
          <w:rPr>
            <w:color w:val="2F3F9E"/>
            <w:u w:val="single"/>
            <w:sz w:val="17.0"/>
          </w:rPr>
          <w:t>mims.oascities.org/representing-data</w:t>
        </w:r>
      </w:hyperlink>
    </w:p>
    <w:p>
      <w:pPr>
        <w:spacing w:before="120" w:after="200"/>
      </w:pPr>
      <w:r>
        <w:rPr>
          <w:b w:val="0"/>
          <w:i w:val="0"/>
          <w:sz w:val="20"/>
        </w:rPr>
        <w:t>Две системи могат да експортират JSON и въпреки това да не се разбират. MIM2 е свързан със смисъла: използване на споделени, документирани модели на данни — с изрично посочени единици и формати, — така че „температура“, „паркомясто“ или „качество на въздуха“ да означават едно и също нещо във всяка система, която притежавате.</w:t>
      </w:r>
    </w:p>
    <w:p>
      <w:pPr>
        <w:spacing w:before="40" w:after="20"/>
      </w:pPr>
      <w:r>
        <w:rPr>
          <w:b/>
          <w:i w:val="0"/>
          <w:color w:val="2F3F9E"/>
          <w:sz w:val="22"/>
        </w:rPr>
        <w:t xml:space="preserve">☐  </w:t>
      </w:r>
      <w:r>
        <w:rPr>
          <w:b/>
          <w:i w:val="0"/>
          <w:color w:val="2F3F9E"/>
          <w:sz w:val="20"/>
        </w:rPr>
        <w:t xml:space="preserve">2.1  </w:t>
      </w:r>
      <w:r>
        <w:rPr>
          <w:b/>
          <w:i w:val="0"/>
          <w:sz w:val="20"/>
        </w:rPr>
        <w:t>Данните използват общоприети стандартни модели на данни навсякъде, където съществуват такива (напр. Smart Data Models, SAREF, ISO/IEC 5087); отклоненията се обосновават писмено.</w:t>
      </w:r>
    </w:p>
    <w:p>
      <w:pPr>
        <w:spacing w:before="40" w:after="140"/>
      </w:pPr>
      <w:r>
        <w:rPr>
          <w:b w:val="0"/>
          <w:i/>
          <w:color w:val="646B82"/>
          <w:sz w:val="18"/>
        </w:rPr>
        <w:t xml:space="preserve">Данните от двама доставчици се обединяват без проект за трансформиране (конвертиране) на данни.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Всички използвани модели на данни са изрично документирани, с посочени мерни единици и формати за дата/час.</w:t>
      </w:r>
    </w:p>
    <w:p>
      <w:pPr>
        <w:spacing w:before="40" w:after="140"/>
      </w:pPr>
      <w:r>
        <w:rPr>
          <w:b w:val="0"/>
          <w:i/>
          <w:color w:val="646B82"/>
          <w:sz w:val="18"/>
        </w:rPr>
        <w:t xml:space="preserve">„Температура: 23“ е безполезно, ако никой не е записал дали става дума за °C или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Разширенията се предоставят като документирани профили/допълнения върху стандартния модел — никога като модифицирано частно разклонение.</w:t>
      </w:r>
    </w:p>
    <w:p>
      <w:pPr>
        <w:spacing w:before="40" w:after="140"/>
      </w:pPr>
      <w:r>
        <w:rPr>
          <w:b w:val="0"/>
          <w:i/>
          <w:color w:val="646B82"/>
          <w:sz w:val="18"/>
        </w:rPr>
        <w:t xml:space="preserve">Запазвате съвместимост с общността и бъдещите актуализации.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Всеки модел има поне една отворена сериализация, подлежаща на валидация спрямо схема (напр. JSON с JSON Schema).</w:t>
      </w:r>
    </w:p>
    <w:p>
      <w:pPr>
        <w:spacing w:before="40" w:after="140"/>
      </w:pPr>
      <w:r>
        <w:rPr>
          <w:b w:val="0"/>
          <w:i/>
          <w:color w:val="646B82"/>
          <w:sz w:val="18"/>
        </w:rPr>
        <w:t xml:space="preserve">Входящите данни могат да се проверяват автоматично още на входа.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ЗАЩО ТОВА Е ВАЖНО</w:t>
            </w:r>
          </w:p>
          <w:p>
            <w:pPr>
              <w:spacing w:before="20" w:after="60"/>
            </w:pPr>
            <w:r>
              <w:rPr>
                <w:b/>
                <w:i w:val="0"/>
                <w:color w:val="2F3F9E"/>
                <w:sz w:val="18"/>
              </w:rPr>
              <w:t xml:space="preserve">•  </w:t>
            </w:r>
            <w:r>
              <w:rPr>
                <w:b w:val="0"/>
                <w:i w:val="0"/>
                <w:sz w:val="18"/>
              </w:rPr>
              <w:t>Едно общо табло чете данни от много доставчици без адаптери.</w:t>
            </w:r>
          </w:p>
          <w:p>
            <w:pPr>
              <w:spacing w:before="20" w:after="60"/>
            </w:pPr>
            <w:r>
              <w:rPr>
                <w:b/>
                <w:i w:val="0"/>
                <w:color w:val="2F3F9E"/>
                <w:sz w:val="18"/>
              </w:rPr>
              <w:t xml:space="preserve">•  </w:t>
            </w:r>
            <w:r>
              <w:rPr>
                <w:b w:val="0"/>
                <w:i w:val="0"/>
                <w:sz w:val="18"/>
              </w:rPr>
              <w:t>Данните ви се разбират от инструментите на други градове — а техните от вашите.</w:t>
            </w:r>
          </w:p>
          <w:p>
            <w:pPr>
              <w:spacing w:before="20" w:after="60"/>
            </w:pPr>
            <w:r>
              <w:rPr>
                <w:b/>
                <w:i w:val="0"/>
                <w:color w:val="2F3F9E"/>
                <w:sz w:val="18"/>
              </w:rPr>
              <w:t xml:space="preserve">•  </w:t>
            </w:r>
            <w:r>
              <w:rPr>
                <w:b w:val="0"/>
                <w:i w:val="0"/>
                <w:sz w:val="18"/>
              </w:rPr>
              <w:t>Автоматичната валидация улавя повредените данни, преди да са се разпространили.</w:t>
            </w:r>
          </w:p>
        </w:tc>
        <w:tc>
          <w:tcPr>
            <w:tcW w:type="dxa" w:w="4986"/>
            <w:shd w:val="clear" w:fill="FBEEEE"/>
          </w:tcPr>
          <w:p>
            <w:pPr>
              <w:spacing w:before="20" w:after="60"/>
            </w:pPr>
            <w:r>
              <w:rPr>
                <w:b/>
                <w:i w:val="0"/>
                <w:color w:val="A02020"/>
                <w:sz w:val="18"/>
              </w:rPr>
              <w:t>ЧЕРВЕНИ ФЛАГОВЕ</w:t>
            </w:r>
          </w:p>
          <w:p>
            <w:pPr>
              <w:spacing w:before="20" w:after="60"/>
            </w:pPr>
            <w:r>
              <w:rPr>
                <w:b/>
                <w:i w:val="0"/>
                <w:color w:val="A02020"/>
                <w:sz w:val="18"/>
              </w:rPr>
              <w:t xml:space="preserve">•  </w:t>
            </w:r>
            <w:r>
              <w:rPr>
                <w:b w:val="0"/>
                <w:i w:val="0"/>
                <w:sz w:val="18"/>
              </w:rPr>
              <w:t>„Нашият патентован модел на данни е по-богат от стандарта.“</w:t>
            </w:r>
          </w:p>
          <w:p>
            <w:pPr>
              <w:spacing w:before="20" w:after="60"/>
            </w:pPr>
            <w:r>
              <w:rPr>
                <w:b/>
                <w:i w:val="0"/>
                <w:color w:val="A02020"/>
                <w:sz w:val="18"/>
              </w:rPr>
              <w:t xml:space="preserve">•  </w:t>
            </w:r>
            <w:r>
              <w:rPr>
                <w:b w:val="0"/>
                <w:i w:val="0"/>
                <w:sz w:val="18"/>
              </w:rPr>
              <w:t>Документация, достъпна само съгласно NDA.</w:t>
            </w:r>
          </w:p>
        </w:tc>
      </w:tr>
    </w:tbl>
    <w:p>
      <w:pPr>
        <w:spacing w:before="280" w:after="40"/>
      </w:pPr>
      <w:r>
        <w:rPr>
          <w:b/>
          <w:i w:val="0"/>
          <w:color w:val="2F3F9E"/>
          <w:sz w:val="26"/>
        </w:rPr>
        <w:t>Какво казва спецификацията</w:t>
      </w:r>
    </w:p>
    <w:p>
      <w:pPr>
        <w:spacing w:before="40" w:after="120"/>
      </w:pPr>
      <w:r>
        <w:rPr>
          <w:b w:val="0"/>
          <w:i w:val="0"/>
          <w:color w:val="646B82"/>
          <w:sz w:val="18"/>
        </w:rPr>
        <w:t>Всяко изискване от този MIM, буквално от MIMs Plus 9.0: Спецификацията съществува само на английски език: българският текст е неофициален превод от автора на тази брошура; английският оригинал под него има обвързваща сила.</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Всички обекти, включени в източниците на данни, са описани чрез съгласувани модели на данни за осигуряване на оперативна съвместимост за приложения и системи</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Моделите на данни, използвани за всички обекти във всеки източник на данни, трябва да бъдат ясно и изрично определени. Те трябва да бъдат добре документирани и да притежават описателни метаданни, като използваните термини трябва да са семантично еднозначни. За атрибути, свързани с мерни единици, формати за време и др., използваните единици, формати и т.н. трябва да бъдат направени явни. Моделите на данни следва да бъдат каталогизирани, за да могат да бъдат лесно откриваеми.</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Използваните модели на данни трябва да се основават (където е възможно) на общопризнати стандартизирани модели на данни, изброени по-долу</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Когато не е възможно използването на съществуващи стандартизирани модели на данни, трябва да се положат усилия за разширяване на съществуващите стандартизирани модели на данни, които са най-близко съобразени, или за дефиниране на нови такива, следвайки добрите практики и конвенции на общността или организацията, определяща моделите на данни.</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Използваните модели на данни трябва да поддържат обмена на данни чрез използване на съответните изисквания на MIM за Достъп до данни и Свързване на данни</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Различни модели на данни за един и същ обект, които се използват в обща екосистема за споделяне на данни, следва лесно да се трансформират в общ модел на данни</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За всяка екосистема от данни следва да се разработи общ модел на данни за всеки ключов обект. Този общ модел на данни следва да съдържа всички полета, включени в различните модели на данни за този обект, които се използват в рамките на тази екосистема от данни. Всеки различен модел на данни, използван в рамките на тази екосистема от данни, след това би могъл да бъде трансформиран в общия модел на данни.</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Всички данни и свързаните с тях метаданни могат да се споделят в отворени, стандартизирани формати за пренос на данни, така че данните да могат да се обменят и интерпретират последователно от различни инструменти и внедрявания</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Всеки използван модел на данни трябва да има поне един определен машинночетим формат за пренос на данни („сериализация“), който е отворен, публично достъпен и независим от конкретното внедряване.</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Документацията на формата за пренос на данни следва да бъде достатъчна, за да позволи създаването на непатентовано приложение или интерпретатор, способни да възстановят всички данни, съхранявани в такъв формат на данните.</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Когато за един и същ модел на данни се поддържат множество формати за пренос на данни, те трябва да представят едно и също информационно съдържание последователно и без загуба на смисъл.</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Представянето следва да поддържа валидация чрез открито публикувани схеми, граматики или еквивалентни машинночетими ограничения, когато такива механизми за валидация съществуват за избрания формат.</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Когато е полезно, следва да бъде възможно създаването на „приложни профили“ за даден модел на данни, така че специфични за случая на употреба атрибути да могат да се добавят или конкретизират, без да се променя базовият модел на данни</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Приложните профили, които разширяват даден модел на данни, не трябва да влияят върху вече съществуващия модел и неговите потребители</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Специализациите или разширенията, въведени в приложния профил на модела, следва да бъдат добре документирани, отделно от базовия модел на данни</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Пълна спецификация: </w:t>
      </w:r>
      <w:hyperlink r:id="rId15">
        <w:r>
          <w:rPr>
            <w:color w:val="2F3F9E"/>
            <w:u w:val="single"/>
            <w:sz w:val="18"/>
          </w:rPr>
          <w:t>https://mims.oascities.org/representing-data</w:t>
        </w:r>
      </w:hyperlink>
    </w:p>
    <w:p>
      <w:r>
        <w:br w:type="page"/>
      </w:r>
    </w:p>
    <w:p>
      <w:pPr>
        <w:spacing w:before="120" w:after="40"/>
      </w:pPr>
      <w:r>
        <w:rPr>
          <w:b/>
          <w:i w:val="0"/>
          <w:color w:val="2F3F9E"/>
          <w:sz w:val="36"/>
        </w:rPr>
        <w:t>MIM3 · Можем ли да споделяме при ясни условия?</w:t>
      </w:r>
    </w:p>
    <w:p>
      <w:pPr>
        <w:spacing w:before="40" w:after="40"/>
      </w:pPr>
      <w:r>
        <w:rPr>
          <w:b w:val="0"/>
          <w:i w:val="0"/>
          <w:color w:val="646B82"/>
          <w:sz w:val="20"/>
        </w:rPr>
        <w:t xml:space="preserve">Обмен на данни   </w:t>
      </w:r>
      <w:hyperlink r:id="rId16">
        <w:r>
          <w:rPr>
            <w:color w:val="2F3F9E"/>
            <w:u w:val="single"/>
            <w:sz w:val="17.0"/>
          </w:rPr>
          <w:t>mims.oascities.org/exchanging-data</w:t>
        </w:r>
      </w:hyperlink>
    </w:p>
    <w:p>
      <w:pPr>
        <w:spacing w:before="120" w:after="200"/>
      </w:pPr>
      <w:r>
        <w:rPr>
          <w:b w:val="0"/>
          <w:i w:val="0"/>
          <w:sz w:val="20"/>
        </w:rPr>
        <w:t>Не всички градски данни могат просто да бъдат публикувани: някои са търговски, други са чувствителни. MIM3 е свързан с безопасното споделяне на останалите данни въпреки това: каталог, в който хората могат да търсят, лицензи по образци вместо индивидуални правни текстове и правила за управление, които всеки може да прочете. Спецификацията формулира почти целия MIM3 като препоръка (вижте стр. 3).</w:t>
      </w:r>
    </w:p>
    <w:p>
      <w:pPr>
        <w:spacing w:before="40" w:after="20"/>
      </w:pPr>
      <w:r>
        <w:rPr>
          <w:b/>
          <w:i w:val="0"/>
          <w:color w:val="2F3F9E"/>
          <w:sz w:val="22"/>
        </w:rPr>
        <w:t xml:space="preserve">☐  </w:t>
      </w:r>
      <w:r>
        <w:rPr>
          <w:b/>
          <w:i w:val="0"/>
          <w:color w:val="2F3F9E"/>
          <w:sz w:val="20"/>
        </w:rPr>
        <w:t xml:space="preserve">3.1  </w:t>
      </w:r>
      <w:r>
        <w:rPr>
          <w:b/>
          <w:i w:val="0"/>
          <w:sz w:val="20"/>
        </w:rPr>
        <w:t>Всеки набор от данни, който системата предлага, е описан със стандартни метаданни (например DCAT-AP) в каталог, за да могат другите да го откриват.</w:t>
      </w:r>
    </w:p>
    <w:p>
      <w:pPr>
        <w:spacing w:before="40" w:after="140"/>
      </w:pPr>
      <w:r>
        <w:rPr>
          <w:b w:val="0"/>
          <w:i/>
          <w:color w:val="646B82"/>
          <w:sz w:val="18"/>
        </w:rPr>
        <w:t xml:space="preserve">Данни, които никой не може да намери, са данни, които никой не ползва.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Условията и лицензите за използване на данни произлизат от утвърдени образци (напр. отворени лицензи, стандартни споразумения за споделяне на данни), а не от индивидуални правни текстове за всеки отделен набор.</w:t>
      </w:r>
    </w:p>
    <w:p>
      <w:pPr>
        <w:spacing w:before="40" w:after="140"/>
      </w:pPr>
      <w:r>
        <w:rPr>
          <w:b w:val="0"/>
          <w:i/>
          <w:color w:val="646B82"/>
          <w:sz w:val="18"/>
        </w:rPr>
        <w:t xml:space="preserve">Споразуменията се мащабират без правен преглед за всеки отделен случай.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Общината може сама да определя кой до кой актив от данни има достъп и при какви условия, както и да променя това без намесата на доставчика.</w:t>
      </w:r>
    </w:p>
    <w:p>
      <w:pPr>
        <w:spacing w:before="40" w:after="140"/>
      </w:pPr>
      <w:r>
        <w:rPr>
          <w:b w:val="0"/>
          <w:i/>
          <w:color w:val="646B82"/>
          <w:sz w:val="18"/>
        </w:rPr>
        <w:t xml:space="preserve">Управлението остава в ръцете на общината.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ЗАЩО ТОВА Е ВАЖНО</w:t>
            </w:r>
          </w:p>
          <w:p>
            <w:pPr>
              <w:spacing w:before="20" w:after="60"/>
            </w:pPr>
            <w:r>
              <w:rPr>
                <w:b/>
                <w:i w:val="0"/>
                <w:color w:val="2F3F9E"/>
                <w:sz w:val="18"/>
              </w:rPr>
              <w:t xml:space="preserve">•  </w:t>
            </w:r>
            <w:r>
              <w:rPr>
                <w:b w:val="0"/>
                <w:i w:val="0"/>
                <w:sz w:val="18"/>
              </w:rPr>
              <w:t>Местните компании и изследователи надграждат върху общинските данни — стойността остава в региона.</w:t>
            </w:r>
          </w:p>
          <w:p>
            <w:pPr>
              <w:spacing w:before="20" w:after="60"/>
            </w:pPr>
            <w:r>
              <w:rPr>
                <w:b/>
                <w:i w:val="0"/>
                <w:color w:val="2F3F9E"/>
                <w:sz w:val="18"/>
              </w:rPr>
              <w:t xml:space="preserve">•  </w:t>
            </w:r>
            <w:r>
              <w:rPr>
                <w:b w:val="0"/>
                <w:i w:val="0"/>
                <w:sz w:val="18"/>
              </w:rPr>
              <w:t>Чувствителните данни могат да се споделят точно с правилните партньори, вместо с всички или с никого.</w:t>
            </w:r>
          </w:p>
          <w:p>
            <w:pPr>
              <w:spacing w:before="20" w:after="60"/>
            </w:pPr>
            <w:r>
              <w:rPr>
                <w:b/>
                <w:i w:val="0"/>
                <w:color w:val="2F3F9E"/>
                <w:sz w:val="18"/>
              </w:rPr>
              <w:t xml:space="preserve">•  </w:t>
            </w:r>
            <w:r>
              <w:rPr>
                <w:b w:val="0"/>
                <w:i w:val="0"/>
                <w:sz w:val="18"/>
              </w:rPr>
              <w:t>Един общ правилник заменя множество индивидуални договори за споделяне на данни.</w:t>
            </w:r>
          </w:p>
        </w:tc>
        <w:tc>
          <w:tcPr>
            <w:tcW w:type="dxa" w:w="4986"/>
            <w:shd w:val="clear" w:fill="FBEEEE"/>
          </w:tcPr>
          <w:p>
            <w:pPr>
              <w:spacing w:before="20" w:after="60"/>
            </w:pPr>
            <w:r>
              <w:rPr>
                <w:b/>
                <w:i w:val="0"/>
                <w:color w:val="A02020"/>
                <w:sz w:val="18"/>
              </w:rPr>
              <w:t>ЧЕРВЕНИ ФЛАГОВЕ</w:t>
            </w:r>
          </w:p>
          <w:p>
            <w:pPr>
              <w:spacing w:before="20" w:after="60"/>
            </w:pPr>
            <w:r>
              <w:rPr>
                <w:b/>
                <w:i w:val="0"/>
                <w:color w:val="A02020"/>
                <w:sz w:val="18"/>
              </w:rPr>
              <w:t xml:space="preserve">•  </w:t>
            </w:r>
            <w:r>
              <w:rPr>
                <w:b w:val="0"/>
                <w:i w:val="0"/>
                <w:sz w:val="18"/>
              </w:rPr>
              <w:t>Доставчикът претендира за права върху данните на общината (вижте клаузата „Права върху данните“).</w:t>
            </w:r>
          </w:p>
          <w:p>
            <w:pPr>
              <w:spacing w:before="20" w:after="60"/>
            </w:pPr>
            <w:r>
              <w:rPr>
                <w:b/>
                <w:i w:val="0"/>
                <w:color w:val="A02020"/>
                <w:sz w:val="18"/>
              </w:rPr>
              <w:t xml:space="preserve">•  </w:t>
            </w:r>
            <w:r>
              <w:rPr>
                <w:b w:val="0"/>
                <w:i w:val="0"/>
                <w:sz w:val="18"/>
              </w:rPr>
              <w:t>Споделянето с трета страна изисква съгласие от доставчика или допълнителни такси.</w:t>
            </w:r>
          </w:p>
        </w:tc>
      </w:tr>
    </w:tbl>
    <w:p>
      <w:pPr>
        <w:spacing w:before="280" w:after="40"/>
      </w:pPr>
      <w:r>
        <w:rPr>
          <w:b/>
          <w:i w:val="0"/>
          <w:color w:val="2F3F9E"/>
          <w:sz w:val="26"/>
        </w:rPr>
        <w:t>Какво казва спецификацията</w:t>
      </w:r>
    </w:p>
    <w:p>
      <w:pPr>
        <w:spacing w:before="40" w:after="120"/>
      </w:pPr>
      <w:r>
        <w:rPr>
          <w:b w:val="0"/>
          <w:i w:val="0"/>
          <w:color w:val="646B82"/>
          <w:sz w:val="18"/>
        </w:rPr>
        <w:t>Всяко изискване от този MIM, буквално от MIMs Plus 9.0: Спецификацията съществува само на английски език: българският текст е неофициален превод от автора на тази брошура; английският оригинал под него има обвързваща сила.</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Могат да се определят правила за управление на екосистемата за споделяне на данни</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Организаторът на дадена екосистема от данни следва да може да определи модел на управление (напр. правилник), очертаващ правилата за членство, ролите, отговорностите и задълженията на участниците в екосистемата, както и общите принципи, регулиращи обмена на данни между тях.</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Членовете, участващи в дадена екосистема от данни, следва да са запознати с нейния модел на управление и с всички промени, направени в него.</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Моделът на управление следва да бъде лесно разбираем за всички участници в екосистемата.</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Могат да се определят правила и условия за споделяне на данни</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Доставчиците на данни са свободни да определят условията, при които желаят данните им да бъдат обменяни. (Забележка: Преди да споделят активи от данни, доставчиците на данни следва да се уверят, че имат надлежно разрешение от собствениците на данните.)</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Условията за обмен на данни следва да бъдат описани ясно и недвусмислено, така че да са лесно разбираеми за потребителите на данни.</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Условията за обмен на данни следва да бъдат изразени чрез лицензи за данни или споразумения за споделяне на данни, базирани на ясно дефинирани образци или стандарти.</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Условията следва да са в съответствие с цялостния модел на управление на екосистемата от данни и не трябва да влизат в противоречие с него. (Забележка: Доставчик на данни може да реши да не участва в екосистема от данни, ако основополагащият модел на управление е твърде ограничителен или твърде разрешителен.)</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Съответствието с правилата и условията за споделяне на данни може да бъде валидирано</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Организаторът на дадена екосистема от данни трябва да може да установи съответствието на нейните участници с основополагащия модел на управление.</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Доставчиците на данни следва да могат да се уверят, че използването на данните от потребител на данни съответства на предварително договорените условия.</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Потребителите на данни следва да могат да се уверят, че предоставянето на данни от доставчика на данни следва предварително договорените условия.</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Наличните активи от данни могат да бъдат откривани</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Потребителите на данни следва да могат да откриват какви данни са налични в екосистемата за споделяне на данни без предварителна информация за тях.</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Активите от данни следва да бъдат надлежно описани с метаданни, така че потребителите на данни да могат да вземат надеждни решения относно тяхното по-нататъшно планирано използване.</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Метаданните, използвани за описание на активи от данни, следва да се основават на ясно дефинирани, лесни за разбиране формати за описание, които са четими както за човек, така и машинно.</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Участниците в екосистемата могат да бъдат откривани</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Участниците в екосистемата (напр. потребители и доставчици на данни) следва да могат да се откриват взаимно в рамките на екосистема за споделяне на данни.</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Следва да са налични достатъчно метаданни за всеки участник в екосистемата, за да се установи неговата надеждност, имаща отношение към обмена на данни.</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Доставчиците на данни следва да могат надеждно да идентифицират потребители на данни, които желаят да получат достъп до техните активи от данни, и да проверяват техните метаданни, преди да предоставят достъп.</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Потребителите на данни следва да могат да идентифицират доставчиците на данни, които споделят данни в екосистема от данни, преди да получат достъп до тези данни или да ги използват.</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Участниците в екосистемата могат също така да изберат да останат анонимни, ако моделът на управление на екосистемата за споделяне на данни позволява това. В този случай RC5.1 до RC5.4 могат да бъдат пренебрегнати.</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Обменът на данни може да бъде договорен</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Потребителите и доставчиците на данни следва да могат да договорят обмен на данни и свързаните с него условия (напр. приемане на условия, юридически подпис на споразумение или преговори).</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Потребителите и доставчиците на данни следва да могат да прекратят предварително договорен обмен на данни в съответствие със свързаните с него условия.</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Където е възможно, могат да бъдат осигурени електронни средства за договаряне и прекратяване на обмен на данни.</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Могат да се заявяват нови данни, които в момента не са налични</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Потребителите на данни следва да могат да изразят своя интерес към активи от данни, които понастоящем не са налични в екосистемата за споделяне на данни.</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Доставчиците на данни следва да могат да получават заявки, направени от потребители на данни, за нови активи от данни.</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Пълна спецификация: </w:t>
      </w:r>
      <w:hyperlink r:id="rId16">
        <w:r>
          <w:rPr>
            <w:color w:val="2F3F9E"/>
            <w:u w:val="single"/>
            <w:sz w:val="18"/>
          </w:rPr>
          <w:t>https://mims.oascities.org/exchanging-data</w:t>
        </w:r>
      </w:hyperlink>
    </w:p>
    <w:p>
      <w:r>
        <w:br w:type="page"/>
      </w:r>
    </w:p>
    <w:p>
      <w:pPr>
        <w:spacing w:before="120" w:after="40"/>
      </w:pPr>
      <w:r>
        <w:rPr>
          <w:b/>
          <w:i w:val="0"/>
          <w:color w:val="2F3F9E"/>
          <w:sz w:val="36"/>
        </w:rPr>
        <w:t>MIM6 · Защитени ли са данните ни?</w:t>
      </w:r>
    </w:p>
    <w:p>
      <w:pPr>
        <w:spacing w:before="40" w:after="40"/>
      </w:pPr>
      <w:r>
        <w:rPr>
          <w:b w:val="0"/>
          <w:i w:val="0"/>
          <w:color w:val="646B82"/>
          <w:sz w:val="20"/>
        </w:rPr>
        <w:t xml:space="preserve">Защита на данни   </w:t>
      </w:r>
      <w:hyperlink r:id="rId17">
        <w:r>
          <w:rPr>
            <w:color w:val="2F3F9E"/>
            <w:u w:val="single"/>
            <w:sz w:val="17.0"/>
          </w:rPr>
          <w:t>mims.oascities.org/securing-data</w:t>
        </w:r>
      </w:hyperlink>
    </w:p>
    <w:p>
      <w:pPr>
        <w:spacing w:before="120" w:after="200"/>
      </w:pPr>
      <w:r>
        <w:rPr>
          <w:b w:val="0"/>
          <w:i w:val="0"/>
          <w:sz w:val="20"/>
        </w:rPr>
        <w:t>Интелигентните градове са мишена за атаки. MIM6 поддържа обхвата съзнателно стегнат и практичен: криптиране на данните в движение, стандартен вход вместо патентовани решения, контрол и регистриране на това кой до какво има достъп. Нищо от това не е екзотично — всичко задължително трябва да присъства в договора.</w:t>
      </w:r>
    </w:p>
    <w:p>
      <w:pPr>
        <w:spacing w:before="40" w:after="20"/>
      </w:pPr>
      <w:r>
        <w:rPr>
          <w:b/>
          <w:i w:val="0"/>
          <w:color w:val="2F3F9E"/>
          <w:sz w:val="22"/>
        </w:rPr>
        <w:t xml:space="preserve">☐  </w:t>
      </w:r>
      <w:r>
        <w:rPr>
          <w:b/>
          <w:i w:val="0"/>
          <w:color w:val="2F3F9E"/>
          <w:sz w:val="20"/>
        </w:rPr>
        <w:t xml:space="preserve">6.1  </w:t>
      </w:r>
      <w:r>
        <w:rPr>
          <w:b/>
          <w:i w:val="0"/>
          <w:sz w:val="20"/>
        </w:rPr>
        <w:t>Целият пренос на данни е криптиран (TLS 1.3 или актуална най-добра практика).</w:t>
      </w:r>
    </w:p>
    <w:p>
      <w:pPr>
        <w:spacing w:before="40" w:after="140"/>
      </w:pPr>
      <w:r>
        <w:rPr>
          <w:b w:val="0"/>
          <w:i/>
          <w:color w:val="646B82"/>
          <w:sz w:val="18"/>
        </w:rPr>
        <w:t xml:space="preserve">Базова хигиена; Директива МИС 2 също го изисква, където е приложима за вас.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Входът и машинният достъп използват отворени стандарти — OAuth 2.0 / OpenID Connect — и могат да се интегрират със съществуващия доставчик на идентичност на общината.</w:t>
      </w:r>
    </w:p>
    <w:p>
      <w:pPr>
        <w:spacing w:before="40" w:after="140"/>
      </w:pPr>
      <w:r>
        <w:rPr>
          <w:b w:val="0"/>
          <w:i/>
          <w:color w:val="646B82"/>
          <w:sz w:val="18"/>
        </w:rPr>
        <w:t xml:space="preserve">Един профил за служител, а не по един за всеки продукт; напускащите губят достъп навсякъде едновременно.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Правата за достъп са базирани на роли, подлежат на преглед и отнемане; действията по достъп и администриране се записват в журнал.</w:t>
      </w:r>
    </w:p>
    <w:p>
      <w:pPr>
        <w:spacing w:before="40" w:after="140"/>
      </w:pPr>
      <w:r>
        <w:rPr>
          <w:b w:val="0"/>
          <w:i/>
          <w:color w:val="646B82"/>
          <w:sz w:val="18"/>
        </w:rPr>
        <w:t xml:space="preserve">Одитите и реакцията при инциденти стават възможни. Журнализирането е мярка 8.15 от Приложение А на ISO/IEC 27001:2022, която MIM6 посочва сред предпоставките си.   </w:t>
      </w:r>
      <w:r>
        <w:rPr>
          <w:b w:val="0"/>
          <w:i w:val="0"/>
          <w:color w:val="0B7485"/>
          <w:sz w:val="16"/>
        </w:rPr>
        <w:t>→ MIM6 R1.1, R1.3, 8.15</w:t>
      </w:r>
    </w:p>
    <w:p>
      <w:pPr>
        <w:spacing w:before="40" w:after="0"/>
      </w:pPr>
      <w:r>
        <w:rPr>
          <w:b/>
          <w:i w:val="0"/>
          <w:color w:val="0B7485"/>
          <w:sz w:val="16"/>
        </w:rPr>
        <w:t>МЯСТОТО МУ Е В КРИТЕРИИТЕ ЗА ПОДБОР, А НЕ В ТЕХНИЧЕСКАТА СПЕЦИФИКАЦИЯ</w:t>
      </w:r>
    </w:p>
    <w:p>
      <w:pPr>
        <w:spacing w:before="40" w:after="20"/>
      </w:pPr>
      <w:r>
        <w:rPr>
          <w:b/>
          <w:i w:val="0"/>
          <w:color w:val="2F3F9E"/>
          <w:sz w:val="22"/>
        </w:rPr>
        <w:t xml:space="preserve">☐  </w:t>
      </w:r>
      <w:r>
        <w:rPr>
          <w:b/>
          <w:i w:val="0"/>
          <w:color w:val="2F3F9E"/>
          <w:sz w:val="20"/>
        </w:rPr>
        <w:t xml:space="preserve">6.4  </w:t>
      </w:r>
      <w:r>
        <w:rPr>
          <w:b/>
          <w:i w:val="0"/>
          <w:sz w:val="20"/>
        </w:rPr>
        <w:t>Участникът доказва съответствие с ISO/IEC 27001:2022 (или еквивалентно) за услугата, която предоставя.</w:t>
      </w:r>
    </w:p>
    <w:p>
      <w:pPr>
        <w:spacing w:before="40" w:after="140"/>
      </w:pPr>
      <w:r>
        <w:rPr>
          <w:b w:val="0"/>
          <w:i/>
          <w:color w:val="646B82"/>
          <w:sz w:val="18"/>
        </w:rPr>
        <w:t xml:space="preserve">Сигурността е процес, а не просто отметка при предаването. Спецификацията цитира мерки от ISO/IEC 27001, а не сертификат.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ЗАЩО ТОВА Е ВАЖНО</w:t>
            </w:r>
          </w:p>
          <w:p>
            <w:pPr>
              <w:spacing w:before="20" w:after="60"/>
            </w:pPr>
            <w:r>
              <w:rPr>
                <w:b/>
                <w:i w:val="0"/>
                <w:color w:val="2F3F9E"/>
                <w:sz w:val="18"/>
              </w:rPr>
              <w:t xml:space="preserve">•  </w:t>
            </w:r>
            <w:r>
              <w:rPr>
                <w:b w:val="0"/>
                <w:i w:val="0"/>
                <w:sz w:val="18"/>
              </w:rPr>
              <w:t>Пробив в една система не отваря вратите към всички останали.</w:t>
            </w:r>
          </w:p>
          <w:p>
            <w:pPr>
              <w:spacing w:before="20" w:after="60"/>
            </w:pPr>
            <w:r>
              <w:rPr>
                <w:b/>
                <w:i w:val="0"/>
                <w:color w:val="2F3F9E"/>
                <w:sz w:val="18"/>
              </w:rPr>
              <w:t xml:space="preserve">•  </w:t>
            </w:r>
            <w:r>
              <w:rPr>
                <w:b w:val="0"/>
                <w:i w:val="0"/>
                <w:sz w:val="18"/>
              </w:rPr>
              <w:t>Където МИС 2 е приложима за вас, спазването ѝ и спазването на националните правила става значително по-лесно.</w:t>
            </w:r>
          </w:p>
          <w:p>
            <w:pPr>
              <w:spacing w:before="20" w:after="60"/>
            </w:pPr>
            <w:r>
              <w:rPr>
                <w:b/>
                <w:i w:val="0"/>
                <w:color w:val="2F3F9E"/>
                <w:sz w:val="18"/>
              </w:rPr>
              <w:t xml:space="preserve">•  </w:t>
            </w:r>
            <w:r>
              <w:rPr>
                <w:b w:val="0"/>
                <w:i w:val="0"/>
                <w:sz w:val="18"/>
              </w:rPr>
              <w:t>След инцидент одитните журнали показват какво се е случило и кой е действал.</w:t>
            </w:r>
          </w:p>
        </w:tc>
        <w:tc>
          <w:tcPr>
            <w:tcW w:type="dxa" w:w="4986"/>
            <w:shd w:val="clear" w:fill="FBEEEE"/>
          </w:tcPr>
          <w:p>
            <w:pPr>
              <w:spacing w:before="20" w:after="60"/>
            </w:pPr>
            <w:r>
              <w:rPr>
                <w:b/>
                <w:i w:val="0"/>
                <w:color w:val="A02020"/>
                <w:sz w:val="18"/>
              </w:rPr>
              <w:t>ЧЕРВЕНИ ФЛАГОВЕ</w:t>
            </w:r>
          </w:p>
          <w:p>
            <w:pPr>
              <w:spacing w:before="20" w:after="60"/>
            </w:pPr>
            <w:r>
              <w:rPr>
                <w:b/>
                <w:i w:val="0"/>
                <w:color w:val="A02020"/>
                <w:sz w:val="18"/>
              </w:rPr>
              <w:t xml:space="preserve">•  </w:t>
            </w:r>
            <w:r>
              <w:rPr>
                <w:b w:val="0"/>
                <w:i w:val="0"/>
                <w:sz w:val="18"/>
              </w:rPr>
              <w:t>Само проприетарен вход.</w:t>
            </w:r>
          </w:p>
          <w:p>
            <w:pPr>
              <w:spacing w:before="20" w:after="60"/>
            </w:pPr>
            <w:r>
              <w:rPr>
                <w:b/>
                <w:i w:val="0"/>
                <w:color w:val="A02020"/>
                <w:sz w:val="18"/>
              </w:rPr>
              <w:t xml:space="preserve">•  </w:t>
            </w:r>
            <w:r>
              <w:rPr>
                <w:b w:val="0"/>
                <w:i w:val="0"/>
                <w:sz w:val="18"/>
              </w:rPr>
              <w:t>„Одитните журнали са достъпни при поискване.“</w:t>
            </w:r>
          </w:p>
          <w:p>
            <w:pPr>
              <w:spacing w:before="20" w:after="60"/>
            </w:pPr>
            <w:r>
              <w:rPr>
                <w:b/>
                <w:i w:val="0"/>
                <w:color w:val="A02020"/>
                <w:sz w:val="18"/>
              </w:rPr>
              <w:t xml:space="preserve">•  </w:t>
            </w:r>
            <w:r>
              <w:rPr>
                <w:b w:val="0"/>
                <w:i w:val="0"/>
                <w:sz w:val="18"/>
              </w:rPr>
              <w:t>Споделени администраторски профили.</w:t>
            </w:r>
          </w:p>
        </w:tc>
      </w:tr>
    </w:tbl>
    <w:p>
      <w:pPr>
        <w:spacing w:before="280" w:after="40"/>
      </w:pPr>
      <w:r>
        <w:rPr>
          <w:b/>
          <w:i w:val="0"/>
          <w:color w:val="2F3F9E"/>
          <w:sz w:val="26"/>
        </w:rPr>
        <w:t>Какво казва спецификацията</w:t>
      </w:r>
    </w:p>
    <w:p>
      <w:pPr>
        <w:spacing w:before="40" w:after="120"/>
      </w:pPr>
      <w:r>
        <w:rPr>
          <w:b w:val="0"/>
          <w:i w:val="0"/>
          <w:color w:val="646B82"/>
          <w:sz w:val="18"/>
        </w:rPr>
        <w:t>Всяко изискване от този MIM, буквално от MIMs Plus 9.0: Спецификацията съществува само на английски език: българският текст е неофициален превод от автора на тази брошура; английският оригинал под него има обвързваща сила.</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Данните са достъпни само за потребители, които следва да имат достъп до тях</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Правилата за контрол на физическия и логическия достъп до информация и други свързани активи ТАКОВА Е ДА бъдат установени и приложени въз основа на изискванията на дейността и сигурността на информацията. (ISO 27001 5.15 Контрол на достъпа)</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Разпределянето и управлението на информация за автентикация ТАКОВА Е ДА се контролират чрез процес на управление, включващ инструктиране на персонала относно правилното боравене с информация за автентикация. (ISO 27001 5.17: Информация за автентикация)</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Правата за достъп до информация и други свързани активи ТАКОВА Е ДА се предоставят, преглеждат, модифицират и отнемат в съответствие със специфичната за организацията тематична политика и правила за контрол на достъпа. (ISO 27001 5.18: Права за достъп)</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Данните, достъпвани от потребителите, не са били подправяни</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Правилата за ефективно използване на криптография, включително управлението на криптографски ключове, ТАКОВА Е ДА бъдат дефинирани и приложени. (ISO 27001 8.24 Използване на криптография)</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Данните, достъпвани от потребителите, произхождат от проверен източник</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Трябва да се приложат сигурни технологии и процедури за автентикация въз основа на ограниченията за достъп до информация и специфичната тематична политика за контрол на достъпа. (ISO 27001 8.5 Сигурна автентикация)</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Предложен механизъм</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Протоколът за сигурност на транспортния слой (TLS), версия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Рамката за авторизация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Слой за идентификация върху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за издаване и представяне на проверими удостоверения</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Предварителни и последващи изисквания (базирани на ISO 27001, Приложение А): мярката, посочена в тази брошура</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Журнализиране. Трябва да се създават, съхраняват, защитават и анализират одитни журнали, записващи дейности, изключения, грешки и други релевантни събития.</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Пълна спецификация: </w:t>
      </w:r>
      <w:hyperlink r:id="rId17">
        <w:r>
          <w:rPr>
            <w:color w:val="2F3F9E"/>
            <w:u w:val="single"/>
            <w:sz w:val="18"/>
          </w:rPr>
          <w:t>https://mims.oascities.org/securing-data</w:t>
        </w:r>
      </w:hyperlink>
    </w:p>
    <w:p>
      <w:r>
        <w:br w:type="page"/>
      </w:r>
    </w:p>
    <w:p>
      <w:pPr>
        <w:spacing w:before="120" w:after="40"/>
      </w:pPr>
      <w:r>
        <w:rPr>
          <w:b/>
          <w:i w:val="0"/>
          <w:color w:val="2F3F9E"/>
          <w:sz w:val="36"/>
        </w:rPr>
        <w:t>MIM7 · Работи ли върху карта?</w:t>
      </w:r>
    </w:p>
    <w:p>
      <w:pPr>
        <w:spacing w:before="40" w:after="40"/>
      </w:pPr>
      <w:r>
        <w:rPr>
          <w:b w:val="0"/>
          <w:i w:val="0"/>
          <w:color w:val="646B82"/>
          <w:sz w:val="20"/>
        </w:rPr>
        <w:t xml:space="preserve">Геопространствени данни   </w:t>
      </w:r>
      <w:hyperlink r:id="rId18">
        <w:r>
          <w:rPr>
            <w:color w:val="2F3F9E"/>
            <w:u w:val="single"/>
            <w:sz w:val="17.0"/>
          </w:rPr>
          <w:t>mims.oascities.org/geospatial-data</w:t>
        </w:r>
      </w:hyperlink>
    </w:p>
    <w:p>
      <w:pPr>
        <w:spacing w:before="120" w:after="200"/>
      </w:pPr>
      <w:r>
        <w:rPr>
          <w:b w:val="0"/>
          <w:i w:val="0"/>
          <w:sz w:val="20"/>
        </w:rPr>
        <w:t>Почти всичко, което общината притежава, има своето географско място. MIM7 гарантира, че това място не е просто екранна снимка: пространствените данни се предават през стандартни OGC интерфейси, в отворени формати, с винаги обявена координатна система — така че всеки закупен слой съвпада идеално с всеки слой, с който вече разполагате.</w:t>
      </w:r>
    </w:p>
    <w:p>
      <w:pPr>
        <w:spacing w:before="40" w:after="20"/>
      </w:pPr>
      <w:r>
        <w:rPr>
          <w:b/>
          <w:i w:val="0"/>
          <w:color w:val="2F3F9E"/>
          <w:sz w:val="22"/>
        </w:rPr>
        <w:t xml:space="preserve">☐  </w:t>
      </w:r>
      <w:r>
        <w:rPr>
          <w:b/>
          <w:i w:val="0"/>
          <w:color w:val="2F3F9E"/>
          <w:sz w:val="20"/>
        </w:rPr>
        <w:t xml:space="preserve">7.1  </w:t>
      </w:r>
      <w:r>
        <w:rPr>
          <w:b/>
          <w:i w:val="0"/>
          <w:sz w:val="20"/>
        </w:rPr>
        <w:t>Геопространствените данни са достъпни чрез базирани на стандарти интерфейси (OGC API Features, SensorThings; WFS е допустим за наследени системи).</w:t>
      </w:r>
    </w:p>
    <w:p>
      <w:pPr>
        <w:spacing w:before="40" w:after="140"/>
      </w:pPr>
      <w:r>
        <w:rPr>
          <w:b w:val="0"/>
          <w:i/>
          <w:color w:val="646B82"/>
          <w:sz w:val="18"/>
        </w:rPr>
        <w:t xml:space="preserve">Всеки ГИС инструмент на пазара може да ги чете директно.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Геопространствените данни са кодирани в отворени формати (GeoJSON, CityJSON; GML/CityGML където се изисква).</w:t>
      </w:r>
    </w:p>
    <w:p>
      <w:pPr>
        <w:spacing w:before="40" w:after="140"/>
      </w:pPr>
      <w:r>
        <w:rPr>
          <w:b w:val="0"/>
          <w:i/>
          <w:color w:val="646B82"/>
          <w:sz w:val="18"/>
        </w:rPr>
        <w:t xml:space="preserve">Без лицензи за конвертори, без задънени улици.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Координатната референтна система е винаги обявена (EPSG код) и данните могат да се трансформират към обща CRS.</w:t>
      </w:r>
    </w:p>
    <w:p>
      <w:pPr>
        <w:spacing w:before="40" w:after="140"/>
      </w:pPr>
      <w:r>
        <w:rPr>
          <w:b w:val="0"/>
          <w:i/>
          <w:color w:val="646B82"/>
          <w:sz w:val="18"/>
        </w:rPr>
        <w:t xml:space="preserve">Слоевете от различни източници действително съвпадат точно върху картата.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Пространствените обекти носят същите постоянни идентификатори като в MIM1.</w:t>
      </w:r>
    </w:p>
    <w:p>
      <w:pPr>
        <w:spacing w:before="40" w:after="140"/>
      </w:pPr>
      <w:r>
        <w:rPr>
          <w:b w:val="0"/>
          <w:i/>
          <w:color w:val="646B82"/>
          <w:sz w:val="18"/>
        </w:rPr>
        <w:t xml:space="preserve">Точката на картата и записът в регистъра представляват едно и също нещо.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ЗАЩО ТОВА Е ВАЖНО</w:t>
            </w:r>
          </w:p>
          <w:p>
            <w:pPr>
              <w:spacing w:before="20" w:after="60"/>
            </w:pPr>
            <w:r>
              <w:rPr>
                <w:b/>
                <w:i w:val="0"/>
                <w:color w:val="2F3F9E"/>
                <w:sz w:val="18"/>
              </w:rPr>
              <w:t xml:space="preserve">•  </w:t>
            </w:r>
            <w:r>
              <w:rPr>
                <w:b w:val="0"/>
                <w:i w:val="0"/>
                <w:sz w:val="18"/>
              </w:rPr>
              <w:t>Една градска карта вместо десет прегледника на доставчици.</w:t>
            </w:r>
          </w:p>
          <w:p>
            <w:pPr>
              <w:spacing w:before="20" w:after="60"/>
            </w:pPr>
            <w:r>
              <w:rPr>
                <w:b/>
                <w:i w:val="0"/>
                <w:color w:val="2F3F9E"/>
                <w:sz w:val="18"/>
              </w:rPr>
              <w:t xml:space="preserve">•  </w:t>
            </w:r>
            <w:r>
              <w:rPr>
                <w:b w:val="0"/>
                <w:i w:val="0"/>
                <w:sz w:val="18"/>
              </w:rPr>
              <w:t>Задълженията по INSPIRE и към националните геопортали стават по-лесни, а не по-трудни.</w:t>
            </w:r>
          </w:p>
          <w:p>
            <w:pPr>
              <w:spacing w:before="20" w:after="60"/>
            </w:pPr>
            <w:r>
              <w:rPr>
                <w:b/>
                <w:i w:val="0"/>
                <w:color w:val="2F3F9E"/>
                <w:sz w:val="18"/>
              </w:rPr>
              <w:t xml:space="preserve">•  </w:t>
            </w:r>
            <w:r>
              <w:rPr>
                <w:b w:val="0"/>
                <w:i w:val="0"/>
                <w:sz w:val="18"/>
              </w:rPr>
              <w:t>3D и BIM данни могат да се присъединят към същата картина по-късно.</w:t>
            </w:r>
          </w:p>
        </w:tc>
        <w:tc>
          <w:tcPr>
            <w:tcW w:type="dxa" w:w="4986"/>
            <w:shd w:val="clear" w:fill="FBEEEE"/>
          </w:tcPr>
          <w:p>
            <w:pPr>
              <w:spacing w:before="20" w:after="60"/>
            </w:pPr>
            <w:r>
              <w:rPr>
                <w:b/>
                <w:i w:val="0"/>
                <w:color w:val="A02020"/>
                <w:sz w:val="18"/>
              </w:rPr>
              <w:t>ЧЕРВЕНИ ФЛАГОВЕ</w:t>
            </w:r>
          </w:p>
          <w:p>
            <w:pPr>
              <w:spacing w:before="20" w:after="60"/>
            </w:pPr>
            <w:r>
              <w:rPr>
                <w:b/>
                <w:i w:val="0"/>
                <w:color w:val="A02020"/>
                <w:sz w:val="18"/>
              </w:rPr>
              <w:t xml:space="preserve">•  </w:t>
            </w:r>
            <w:r>
              <w:rPr>
                <w:b w:val="0"/>
                <w:i w:val="0"/>
                <w:sz w:val="18"/>
              </w:rPr>
              <w:t>Картографските данни съществуват единствено в софтуера на доставчика.</w:t>
            </w:r>
          </w:p>
          <w:p>
            <w:pPr>
              <w:spacing w:before="20" w:after="60"/>
            </w:pPr>
            <w:r>
              <w:rPr>
                <w:b/>
                <w:i w:val="0"/>
                <w:color w:val="A02020"/>
                <w:sz w:val="18"/>
              </w:rPr>
              <w:t xml:space="preserve">•  </w:t>
            </w:r>
            <w:r>
              <w:rPr>
                <w:b w:val="0"/>
                <w:i w:val="0"/>
                <w:sz w:val="18"/>
              </w:rPr>
              <w:t>„Експорт като PDF/екранна снимка.“</w:t>
            </w:r>
          </w:p>
        </w:tc>
      </w:tr>
    </w:tbl>
    <w:p>
      <w:pPr>
        <w:spacing w:before="280" w:after="40"/>
      </w:pPr>
      <w:r>
        <w:rPr>
          <w:b/>
          <w:i w:val="0"/>
          <w:color w:val="2F3F9E"/>
          <w:sz w:val="26"/>
        </w:rPr>
        <w:t>Какво казва спецификацията</w:t>
      </w:r>
    </w:p>
    <w:p>
      <w:pPr>
        <w:spacing w:before="40" w:after="120"/>
      </w:pPr>
      <w:r>
        <w:rPr>
          <w:b w:val="0"/>
          <w:i w:val="0"/>
          <w:color w:val="646B82"/>
          <w:sz w:val="18"/>
        </w:rPr>
        <w:t>Всяко изискване от този MIM, буквално от MIMs Plus 9.0: Спецификацията съществува само на английски език: българският текст е неофициален превод от автора на тази брошура; английският оригинал под него има обвързваща сила.</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Градовете и общностите могат лесно да прехвърлят геопространствени данни между вътрешни и външни (включително свързани с IoT) ИТ системи</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Геопространствените данни трябва да бъдат предоставяни чрез базиран на стандарти интерфейс за уеб услуги.</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Градовете и общностите могат да интегрират 2D и 3D геопространствени данни от разнообразни източници, например геоданни и модели на сградна информация (BIM), и да споделят тези данни помежду си по оперативно съвместим начин</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Геопространствените данни трябва да бъдат кодирани с използване на отворени стандарти. Препоръчва се използването на съответните стандарти от OGC и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Градовете и общностите могат да интегрират геопространствени данни с други данни, които могат да предоставят допълнителна информация за контекста</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Всички набори от данни, използвани за предоставяне на допълнителна информация относно контекста, обхванат от геопространствените данни, трябва да съответстват на MIM1 и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Градовете и общностите разполагат с последователен и траен начин за описване на отделни екземпляри на всички обекти или същности, включени в източниците на геопространствени данни</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Трябва да се използват уникални и постоянни идентификатори за идентифициране на конкретни екземпляри на всеки обект, използван в наборите от данни. (Вж. MIM1: Свързване на данни.)</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Координатните референтни системи (CRS), използвани при споделянето на данни, могат лесно да се трансформират в обща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Координатните референтни системи (CRS) трябва да съответстват на стандартите и трябва да бъде предоставена информация относно това кой стандарт (напр. EPSG:4326, EPSG:3857) се използва. Това включва EPSG кода или WGS кода, заедно с информация за всякакви вариации, базирани на национални системи като латвийската LKS-92, така че данните да могат да бъдат трансформирани към обща CRS. (Забележка: В рамките на ЕС за геопространствените данни се изисква използването на метаданни, съответстващи на Директивата INSPIRE, включително метаданните, необходими за описание на информацията за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Пълна спецификация: </w:t>
      </w:r>
      <w:hyperlink r:id="rId18">
        <w:r>
          <w:rPr>
            <w:color w:val="2F3F9E"/>
            <w:u w:val="single"/>
            <w:sz w:val="18"/>
          </w:rPr>
          <w:t>https://mims.oascities.org/geospatial-data</w:t>
        </w:r>
      </w:hyperlink>
    </w:p>
    <w:p>
      <w:r>
        <w:br w:type="page"/>
      </w:r>
    </w:p>
    <w:p>
      <w:pPr>
        <w:spacing w:before="120" w:after="40"/>
      </w:pPr>
      <w:r>
        <w:rPr>
          <w:b/>
          <w:i w:val="0"/>
          <w:color w:val="2F3F9E"/>
          <w:sz w:val="36"/>
        </w:rPr>
        <w:t>MIM8 · Може ли цифровият ни двойник да се развива?</w:t>
      </w:r>
    </w:p>
    <w:p>
      <w:pPr>
        <w:spacing w:before="40" w:after="40"/>
      </w:pPr>
      <w:r>
        <w:rPr>
          <w:b w:val="0"/>
          <w:i w:val="0"/>
          <w:color w:val="646B82"/>
          <w:sz w:val="20"/>
        </w:rPr>
        <w:t xml:space="preserve">Местни цифрови двойници   </w:t>
      </w:r>
      <w:hyperlink r:id="rId19">
        <w:r>
          <w:rPr>
            <w:color w:val="2F3F9E"/>
            <w:u w:val="single"/>
            <w:sz w:val="17.0"/>
          </w:rPr>
          <w:t>mims.oascities.org/local-digital-twins</w:t>
        </w:r>
      </w:hyperlink>
    </w:p>
    <w:p>
      <w:pPr>
        <w:spacing w:before="120" w:after="200"/>
      </w:pPr>
      <w:r>
        <w:rPr>
          <w:b w:val="0"/>
          <w:i w:val="0"/>
          <w:sz w:val="20"/>
        </w:rPr>
        <w:t>Цифровият двойник е дългосрочна инвестиция: данни, 3D модели, симулации, решения. MIM8 защитава тази инвестиция — данните и моделите на двойника остават достъпни и документирани, резултатите могат да се възпроизвеждат, а компонентите от един проект могат да служат за следващия. Използвайте тази страница при покупка на платформи за двойници, симулационни модели или 3D градски инструменти.</w:t>
      </w:r>
    </w:p>
    <w:p>
      <w:pPr>
        <w:spacing w:before="40" w:after="20"/>
      </w:pPr>
      <w:r>
        <w:rPr>
          <w:b/>
          <w:i w:val="0"/>
          <w:color w:val="2F3F9E"/>
          <w:sz w:val="22"/>
        </w:rPr>
        <w:t xml:space="preserve">☐  </w:t>
      </w:r>
      <w:r>
        <w:rPr>
          <w:b/>
          <w:i w:val="0"/>
          <w:color w:val="2F3F9E"/>
          <w:sz w:val="20"/>
        </w:rPr>
        <w:t xml:space="preserve">8.1  </w:t>
      </w:r>
      <w:r>
        <w:rPr>
          <w:b/>
          <w:i w:val="0"/>
          <w:sz w:val="20"/>
        </w:rPr>
        <w:t>Наборите от данни, входните данни за моделите и резултатите от симулациите са достъпни чрез API (съгласно MIM0), а не са затворени в двойника.</w:t>
      </w:r>
    </w:p>
    <w:p>
      <w:pPr>
        <w:spacing w:before="40" w:after="140"/>
      </w:pPr>
      <w:r>
        <w:rPr>
          <w:b w:val="0"/>
          <w:i/>
          <w:color w:val="646B82"/>
          <w:sz w:val="18"/>
        </w:rPr>
        <w:t xml:space="preserve">Резултатите захранват отчети, информационни табла и следващия проект.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Моделите са документирани (метод, параметри, входни/изходни данни) и могат да се извикват през документиран интерфейс.</w:t>
      </w:r>
    </w:p>
    <w:p>
      <w:pPr>
        <w:spacing w:before="40" w:after="140"/>
      </w:pPr>
      <w:r>
        <w:rPr>
          <w:b w:val="0"/>
          <w:i/>
          <w:color w:val="646B82"/>
          <w:sz w:val="18"/>
        </w:rPr>
        <w:t xml:space="preserve">Модел за наводнения, закупен веднъж, може да се преизползва от различни дирекции — и от други градове.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Резултатите използват стандартни формати (GeoJSON, CityJSON, 3D Tiles, NetCDF…), четими от инструменти на трети страни.</w:t>
      </w:r>
    </w:p>
    <w:p>
      <w:pPr>
        <w:spacing w:before="40" w:after="140"/>
      </w:pPr>
      <w:r>
        <w:rPr>
          <w:b w:val="0"/>
          <w:i/>
          <w:color w:val="646B82"/>
          <w:sz w:val="18"/>
        </w:rPr>
        <w:t xml:space="preserve">Визуализацията и анализът остават конкурентни пазари.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Работните процеси записват произхода: коя версия на данните, кой модел и кои параметри са довели до даден резултат.</w:t>
      </w:r>
    </w:p>
    <w:p>
      <w:pPr>
        <w:spacing w:before="40" w:after="140"/>
      </w:pPr>
      <w:r>
        <w:rPr>
          <w:b w:val="0"/>
          <w:i/>
          <w:color w:val="646B82"/>
          <w:sz w:val="18"/>
        </w:rPr>
        <w:t xml:space="preserve">Решенията, базирани на цифровия двойник, могат да бъдат обяснени и защитени на по-късен етап.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ЗАЩО ТОВА Е ВАЖНО</w:t>
            </w:r>
          </w:p>
          <w:p>
            <w:pPr>
              <w:spacing w:before="20" w:after="60"/>
            </w:pPr>
            <w:r>
              <w:rPr>
                <w:b/>
                <w:i w:val="0"/>
                <w:color w:val="2F3F9E"/>
                <w:sz w:val="18"/>
              </w:rPr>
              <w:t xml:space="preserve">•  </w:t>
            </w:r>
            <w:r>
              <w:rPr>
                <w:b w:val="0"/>
                <w:i w:val="0"/>
                <w:sz w:val="18"/>
              </w:rPr>
              <w:t>Двойникът надживява всеки отделен доставчик или бюджет на проект.</w:t>
            </w:r>
          </w:p>
          <w:p>
            <w:pPr>
              <w:spacing w:before="20" w:after="60"/>
            </w:pPr>
            <w:r>
              <w:rPr>
                <w:b/>
                <w:i w:val="0"/>
                <w:color w:val="2F3F9E"/>
                <w:sz w:val="18"/>
              </w:rPr>
              <w:t xml:space="preserve">•  </w:t>
            </w:r>
            <w:r>
              <w:rPr>
                <w:b w:val="0"/>
                <w:i w:val="0"/>
                <w:sz w:val="18"/>
              </w:rPr>
              <w:t>Симулациите могат да бъдат проверени, повторени и обосновани при вземането на решения в общината.</w:t>
            </w:r>
          </w:p>
          <w:p>
            <w:pPr>
              <w:spacing w:before="20" w:after="60"/>
            </w:pPr>
            <w:r>
              <w:rPr>
                <w:b/>
                <w:i w:val="0"/>
                <w:color w:val="2F3F9E"/>
                <w:sz w:val="18"/>
              </w:rPr>
              <w:t xml:space="preserve">•  </w:t>
            </w:r>
            <w:r>
              <w:rPr>
                <w:b w:val="0"/>
                <w:i w:val="0"/>
                <w:sz w:val="18"/>
              </w:rPr>
              <w:t>Моделите и компонентите могат да се споделят между градовете.</w:t>
            </w:r>
          </w:p>
        </w:tc>
        <w:tc>
          <w:tcPr>
            <w:tcW w:type="dxa" w:w="4986"/>
            <w:shd w:val="clear" w:fill="FBEEEE"/>
          </w:tcPr>
          <w:p>
            <w:pPr>
              <w:spacing w:before="20" w:after="60"/>
            </w:pPr>
            <w:r>
              <w:rPr>
                <w:b/>
                <w:i w:val="0"/>
                <w:color w:val="A02020"/>
                <w:sz w:val="18"/>
              </w:rPr>
              <w:t>ЧЕРВЕНИ ФЛАГОВЕ</w:t>
            </w:r>
          </w:p>
          <w:p>
            <w:pPr>
              <w:spacing w:before="20" w:after="60"/>
            </w:pPr>
            <w:r>
              <w:rPr>
                <w:b/>
                <w:i w:val="0"/>
                <w:color w:val="A02020"/>
                <w:sz w:val="18"/>
              </w:rPr>
              <w:t xml:space="preserve">•  </w:t>
            </w:r>
            <w:r>
              <w:rPr>
                <w:b w:val="0"/>
                <w:i w:val="0"/>
                <w:sz w:val="18"/>
              </w:rPr>
              <w:t>Резултатите от симулацията могат да се преглеждат само в портала на доставчика.</w:t>
            </w:r>
          </w:p>
          <w:p>
            <w:pPr>
              <w:spacing w:before="20" w:after="60"/>
            </w:pPr>
            <w:r>
              <w:rPr>
                <w:b/>
                <w:i w:val="0"/>
                <w:color w:val="A02020"/>
                <w:sz w:val="18"/>
              </w:rPr>
              <w:t xml:space="preserve">•  </w:t>
            </w:r>
            <w:r>
              <w:rPr>
                <w:b w:val="0"/>
                <w:i w:val="0"/>
                <w:sz w:val="18"/>
              </w:rPr>
              <w:t>Модели под формата на капсулирани черни кутии без никакви метаданни.</w:t>
            </w:r>
          </w:p>
        </w:tc>
      </w:tr>
    </w:tbl>
    <w:p>
      <w:pPr>
        <w:spacing w:before="280" w:after="40"/>
      </w:pPr>
      <w:r>
        <w:rPr>
          <w:b/>
          <w:i w:val="0"/>
          <w:color w:val="2F3F9E"/>
          <w:sz w:val="26"/>
        </w:rPr>
        <w:t>Какво казва спецификацията</w:t>
      </w:r>
    </w:p>
    <w:p>
      <w:pPr>
        <w:spacing w:before="40" w:after="120"/>
      </w:pPr>
      <w:r>
        <w:rPr>
          <w:b w:val="0"/>
          <w:i w:val="0"/>
          <w:color w:val="646B82"/>
          <w:sz w:val="18"/>
        </w:rPr>
        <w:t>Всяко изискване от този MIM, буквално от MIMs Plus 9.0: Спецификацията съществува само на английски език: българският текст е неофициален превод от автора на тази брошура; английският оригинал под него има обвързваща сила.</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Осигуряване на достъп до набори от данни, използвани в рамките на LDT, включително статични, в реално време и симулационни данни, както и изчислителни модели</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LDT трябва да осигурява достъп до резултатите от симулациите и входните данни за изчислителните модели, когато те са необходими като част от работните процеси на 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LDT следва да разграничава ясно необработените първични данни, трансформираните данни, готови за работни процеси, входните данни за модели и изходните резултати от модели.</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Обмен на данни с външни системи и други LDT чрез използване на оперативно съвместими интерфейси</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Тази способност разчита на MIM3 (Обмен на данни) за обмена на данни.</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Повторно използване на детерминистични модели или модели с ИИ в различни области, общности, случаи на употреба и/или LDT</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Моделът следва да предоставя стандартни метаданни за модела, включително описание на неговите методи и параметри, както и параметри на данните (чрез стойност или чрез препратка). За тази цел следва да се използват общи стандарти за метаданни.</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Моделът трябва да предоставя или да може да се извиква чрез документиран интерфейс, за предпочитане използвайки известен стандартизиран API. Наборът от данни, който формира резултата от модела, трябва да бъде описан (на ниво данни).</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Надеждното, устойчиво и етично използване на иновативни методи (големи езикови модели, агентен ИИ и др.) следва да бъде гарантирано. Необективността/изкривяванията (bias) следва да бъдат сведени до минимум, където е приложимо. Методите, използвани за гарантиране на това, следва да бъдат описани.</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Моделът трябва да може да осъществява достъп до данни от името на крайния потребител или организацията. Вж.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За данни, които ще се използват в модели с ИИ, произходът и доверието следва да бъдат гарантирани. В някои случаи трябва да бъде посочен авторитетен източник, като например държавна институция.</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Координиране и управление на данни, модели и работни процеси за обработка в рамките на LDT (вътре в LDT) и между LDT (между 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LDT поддържа работни процеси, които свързват източници на данни, трансформации на данни, изпълнение на модели, симулационни процеси и изходни резултати.</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LDT свързва верижно стъпките от работния процес, при което изходът от една стъпка може да се използва като вход за друга.</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LDT следи състоянието на изпълнение на работния процес, включително завършени, неуспешни и прекъснати процеси.</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LDT записва произхода на работния процес, включително използваните набори от данни (включително версия, с времеви печат), изпълнените модели, избраните параметри и генерираните изходни резултати.</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Осигуряване на множество визуализации на данни и резултати (напр. 2D, 3D, информационни табла) от общи основни данни и модели за взаимодействие и сравнение</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LDT предоставя метаданни, обясняващи какво се визуализира, включително времеви печат, пространствен обхват, източник на данни, както и допускания за сценарии и варианти, където е от значение.</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LDT поддържа различни типове интерактивна визуализация, като 2D карти, 3D сцени, информационни табла, отчети или публично достъпни изгледи.</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Гарантиране, че обменяните данни (и резултатите от симулациите) вътре в LDT и между LDT могат да се интерпретират последователно чрез споделена или съпоставена семантика и ясен произход</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LDT следва да документира нерешени семантични пропуски, допускания или съпоставки, които могат да повлияят на интерпретацията, повторното използване или сравнението на резултатите.</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Механизми (в процес на активна разработка)</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Достъп до ресурсите на LDT чрез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Стандартизирани формати за данни и изходни резултати</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Моделът като услуга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Оркестрация на работните процеси на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Многоизгледен достъп до резултати и визуализация</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Пълна спецификация: </w:t>
      </w:r>
      <w:hyperlink r:id="rId19">
        <w:r>
          <w:rPr>
            <w:color w:val="2F3F9E"/>
            <w:u w:val="single"/>
            <w:sz w:val="18"/>
          </w:rPr>
          <w:t>https://mims.oascities.org/local-digital-twins</w:t>
        </w:r>
      </w:hyperlink>
    </w:p>
    <w:p>
      <w:r>
        <w:br w:type="page"/>
      </w:r>
    </w:p>
    <w:p>
      <w:pPr>
        <w:spacing w:before="120" w:after="40"/>
      </w:pPr>
      <w:r>
        <w:rPr>
          <w:b/>
          <w:i w:val="0"/>
          <w:color w:val="2F3F9E"/>
          <w:sz w:val="36"/>
        </w:rPr>
        <w:t>Хоризонтални договорни клаузи</w:t>
      </w:r>
    </w:p>
    <w:p>
      <w:pPr>
        <w:spacing w:before="40" w:after="120"/>
      </w:pPr>
      <w:r>
        <w:rPr>
          <w:b/>
          <w:i w:val="0"/>
          <w:color w:val="0B7485"/>
          <w:sz w:val="22"/>
        </w:rPr>
        <w:t>Защитни мерки срещу зависимост от доставчик</w:t>
      </w:r>
    </w:p>
    <w:p>
      <w:pPr>
        <w:spacing w:before="40" w:after="200"/>
      </w:pPr>
      <w:r>
        <w:rPr>
          <w:b w:val="0"/>
          <w:i w:val="0"/>
          <w:sz w:val="20"/>
        </w:rPr>
        <w:t>Тези клаузи принадлежат към всяка поръчка, независимо какво купувате. Те произтичат от практиката при възлагане около MIMs и living-in.eu. Повечето от тях не се основават на едно-единствено изискване от спецификацията, поради което нямат референтни кодове (версионирането на API е и препоръка в MIM0 C2). Включването им струва малко; пропускането им може да струва всичко.</w:t>
      </w:r>
    </w:p>
    <w:p>
      <w:pPr>
        <w:spacing w:before="40" w:after="20"/>
      </w:pPr>
      <w:r>
        <w:rPr>
          <w:b/>
          <w:i w:val="0"/>
          <w:color w:val="2F3F9E"/>
          <w:sz w:val="22"/>
        </w:rPr>
        <w:t xml:space="preserve">☐  </w:t>
      </w:r>
      <w:r>
        <w:rPr>
          <w:b/>
          <w:i w:val="0"/>
          <w:color w:val="2F3F9E"/>
          <w:sz w:val="21"/>
        </w:rPr>
        <w:t>X.1  Клауза за прекратяване</w:t>
      </w:r>
    </w:p>
    <w:p>
      <w:pPr>
        <w:spacing w:before="40" w:after="160"/>
      </w:pPr>
      <w:r>
        <w:rPr>
          <w:b w:val="0"/>
          <w:i w:val="0"/>
          <w:sz w:val="20"/>
        </w:rPr>
        <w:t>При прекратяване на договора всички данни на общината (и конфигурации) се предават в отворени, документирани формати без допълнително заплащане.</w:t>
      </w:r>
    </w:p>
    <w:p>
      <w:pPr>
        <w:spacing w:before="40" w:after="20"/>
      </w:pPr>
      <w:r>
        <w:rPr>
          <w:b/>
          <w:i w:val="0"/>
          <w:color w:val="2F3F9E"/>
          <w:sz w:val="22"/>
        </w:rPr>
        <w:t xml:space="preserve">☐  </w:t>
      </w:r>
      <w:r>
        <w:rPr>
          <w:b/>
          <w:i w:val="0"/>
          <w:color w:val="2F3F9E"/>
          <w:sz w:val="21"/>
        </w:rPr>
        <w:t>X.2  Права върху данните</w:t>
      </w:r>
    </w:p>
    <w:p>
      <w:pPr>
        <w:spacing w:before="40" w:after="160"/>
      </w:pPr>
      <w:r>
        <w:rPr>
          <w:b w:val="0"/>
          <w:i w:val="0"/>
          <w:sz w:val="20"/>
        </w:rPr>
        <w:t>Всички права върху данните, събрани и получени в рамките на договора, принадлежат на възложителя.</w:t>
      </w:r>
    </w:p>
    <w:p>
      <w:pPr>
        <w:spacing w:before="40" w:after="20"/>
      </w:pPr>
      <w:r>
        <w:rPr>
          <w:b/>
          <w:i w:val="0"/>
          <w:color w:val="2F3F9E"/>
          <w:sz w:val="22"/>
        </w:rPr>
        <w:t xml:space="preserve">☐  </w:t>
      </w:r>
      <w:r>
        <w:rPr>
          <w:b/>
          <w:i w:val="0"/>
          <w:color w:val="2F3F9E"/>
          <w:sz w:val="21"/>
        </w:rPr>
        <w:t>X.3  Без такси за собствени данни</w:t>
      </w:r>
    </w:p>
    <w:p>
      <w:pPr>
        <w:spacing w:before="40" w:after="160"/>
      </w:pPr>
      <w:r>
        <w:rPr>
          <w:b w:val="0"/>
          <w:i w:val="0"/>
          <w:sz w:val="20"/>
        </w:rPr>
        <w:t>Възложителят не заплаща такса за достъп до собствените си данни – нито на потребител, нито за заявка.</w:t>
      </w:r>
    </w:p>
    <w:p>
      <w:pPr>
        <w:spacing w:before="40" w:after="20"/>
      </w:pPr>
      <w:r>
        <w:rPr>
          <w:b/>
          <w:i w:val="0"/>
          <w:color w:val="2F3F9E"/>
          <w:sz w:val="22"/>
        </w:rPr>
        <w:t xml:space="preserve">☐  </w:t>
      </w:r>
      <w:r>
        <w:rPr>
          <w:b/>
          <w:i w:val="0"/>
          <w:color w:val="2F3F9E"/>
          <w:sz w:val="21"/>
        </w:rPr>
        <w:t>X.4  Стабилност и версиониране на API</w:t>
      </w:r>
    </w:p>
    <w:p>
      <w:pPr>
        <w:spacing w:before="40" w:after="160"/>
      </w:pPr>
      <w:r>
        <w:rPr>
          <w:b w:val="0"/>
          <w:i w:val="0"/>
          <w:sz w:val="20"/>
        </w:rPr>
        <w:t>Доставчикът поддържа обратна съвместимост на API през целия срок на договора. Несъвместими промени се обявяват поне 6 месеца предварително и се пускат като нова версия, докато предишната версия остава налична до договорената дата за преминаване.</w:t>
      </w:r>
    </w:p>
    <w:p>
      <w:pPr>
        <w:spacing w:before="40" w:after="20"/>
      </w:pPr>
      <w:r>
        <w:rPr>
          <w:b/>
          <w:i w:val="0"/>
          <w:color w:val="2F3F9E"/>
          <w:sz w:val="22"/>
        </w:rPr>
        <w:t xml:space="preserve">☐  </w:t>
      </w:r>
      <w:r>
        <w:rPr>
          <w:b/>
          <w:i w:val="0"/>
          <w:color w:val="2F3F9E"/>
          <w:sz w:val="21"/>
        </w:rPr>
        <w:t>X.5  Докажете, не обещавайте</w:t>
      </w:r>
    </w:p>
    <w:p>
      <w:pPr>
        <w:spacing w:before="40" w:after="160"/>
      </w:pPr>
      <w:r>
        <w:rPr>
          <w:b w:val="0"/>
          <w:i w:val="0"/>
          <w:sz w:val="20"/>
        </w:rPr>
        <w:t>Кандидатите демонстрират съответствие по време на оценката на офертите вместо подаване на декларации. За API това означава публикувана интерактивна документация (като OpenAPI) и реално извикване, което връща валидни данни. Всяка отбелязана точка се тества отново при приемането.</w:t>
      </w:r>
    </w:p>
    <w:p>
      <w:pPr>
        <w:spacing w:before="40" w:after="20"/>
      </w:pPr>
      <w:r>
        <w:rPr>
          <w:b/>
          <w:i w:val="0"/>
          <w:color w:val="2F3F9E"/>
          <w:sz w:val="22"/>
        </w:rPr>
        <w:t xml:space="preserve">☐  </w:t>
      </w:r>
      <w:r>
        <w:rPr>
          <w:b/>
          <w:i w:val="0"/>
          <w:color w:val="2F3F9E"/>
          <w:sz w:val="21"/>
        </w:rPr>
        <w:t>X.6  Посочени отворени стандарти</w:t>
      </w:r>
    </w:p>
    <w:p>
      <w:pPr>
        <w:spacing w:before="40" w:after="160"/>
      </w:pPr>
      <w:r>
        <w:rPr>
          <w:b w:val="0"/>
          <w:i w:val="0"/>
          <w:sz w:val="20"/>
        </w:rPr>
        <w:t>Поръчката посочва конкретни стандарти; твърденията за „съвместимост с“ трябва да цитират точния интерфейс и версия. Всяко позоваване на стандарт или техническа спецификация допуска еквивалентно решение; участникът доказва еквивалентността.</w:t>
      </w:r>
    </w:p>
    <w:p>
      <w:pPr>
        <w:spacing w:before="40" w:after="20"/>
      </w:pPr>
      <w:r>
        <w:rPr>
          <w:b/>
          <w:i w:val="0"/>
          <w:color w:val="2F3F9E"/>
          <w:sz w:val="22"/>
        </w:rPr>
        <w:t xml:space="preserve">☐  </w:t>
      </w:r>
      <w:r>
        <w:rPr>
          <w:b/>
          <w:i w:val="0"/>
          <w:color w:val="2F3F9E"/>
          <w:sz w:val="21"/>
        </w:rPr>
        <w:t>X.7  Декларация за съответствие с MIMs</w:t>
      </w:r>
    </w:p>
    <w:p>
      <w:pPr>
        <w:spacing w:before="40" w:after="160"/>
      </w:pPr>
      <w:r>
        <w:rPr>
          <w:b w:val="0"/>
          <w:i w:val="0"/>
          <w:sz w:val="20"/>
        </w:rPr>
        <w:t>Участникът попълва таблицата за съответствие (стр. 28); тя става неразделна част от договора.</w:t>
      </w:r>
    </w:p>
    <w:p>
      <w:r>
        <w:br w:type="page"/>
      </w:r>
    </w:p>
    <w:p>
      <w:pPr>
        <w:spacing w:before="120" w:after="160"/>
      </w:pPr>
      <w:r>
        <w:rPr>
          <w:b/>
          <w:i w:val="0"/>
          <w:color w:val="2F3F9E"/>
          <w:sz w:val="36"/>
        </w:rPr>
        <w:t>Пример: община купува мрежа от сензори за качество на въздуха</w:t>
      </w:r>
    </w:p>
    <w:p>
      <w:pPr>
        <w:spacing w:before="40" w:after="160"/>
      </w:pPr>
      <w:r>
        <w:rPr>
          <w:b w:val="0"/>
          <w:i w:val="0"/>
          <w:sz w:val="20"/>
        </w:rPr>
        <w:t>Отбелязани страници: MIM0, MIM1, MIM2, MIM6 и MIM7 (данните отиват на карта). От MIM3 само точка 3.1 (данните за качеството на въздуха се публикуват като отворени данни, така че мястото им е в каталог); MIM8 не се прилага: системата не е цифров двойник.</w:t>
      </w:r>
    </w:p>
    <w:p>
      <w:pPr>
        <w:spacing w:before="40" w:after="80"/>
      </w:pPr>
      <w:r>
        <w:rPr>
          <w:b/>
          <w:i w:val="0"/>
          <w:color w:val="2F3F9E"/>
          <w:sz w:val="22"/>
        </w:rPr>
        <w:t>Какво къде се поставя</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Документ</w:t>
            </w:r>
          </w:p>
        </w:tc>
        <w:tc>
          <w:tcPr>
            <w:tcW w:type="dxa" w:w="3324"/>
            <w:shd w:val="clear" w:fill="EEF0FB"/>
          </w:tcPr>
          <w:p>
            <w:r>
              <w:rPr>
                <w:b/>
                <w:i w:val="0"/>
                <w:color w:val="2F3F9E"/>
                <w:sz w:val="18"/>
              </w:rPr>
              <w:t>Термин в Директива 2014/24/ЕС</w:t>
            </w:r>
          </w:p>
        </w:tc>
        <w:tc>
          <w:tcPr>
            <w:tcW w:type="dxa" w:w="3324"/>
            <w:shd w:val="clear" w:fill="EEF0FB"/>
          </w:tcPr>
          <w:p>
            <w:r>
              <w:rPr>
                <w:b/>
                <w:i w:val="0"/>
                <w:color w:val="2F3F9E"/>
                <w:sz w:val="18"/>
              </w:rPr>
              <w:t>Какво да включите в него</w:t>
            </w:r>
          </w:p>
        </w:tc>
      </w:tr>
      <w:tr>
        <w:tc>
          <w:tcPr>
            <w:tcW w:type="dxa" w:w="3324"/>
          </w:tcPr>
          <w:p>
            <w:r>
              <w:rPr>
                <w:b/>
                <w:i w:val="0"/>
                <w:color w:val="2F3F9E"/>
                <w:sz w:val="18"/>
              </w:rPr>
              <w:t>Техническа спецификация</w:t>
            </w:r>
          </w:p>
        </w:tc>
        <w:tc>
          <w:tcPr>
            <w:tcW w:type="dxa" w:w="3324"/>
          </w:tcPr>
          <w:p>
            <w:r>
              <w:rPr>
                <w:b w:val="0"/>
                <w:i w:val="0"/>
                <w:color w:val="646B82"/>
                <w:sz w:val="17"/>
              </w:rPr>
              <w:t>технически спецификации (чл. 42)</w:t>
            </w:r>
          </w:p>
        </w:tc>
        <w:tc>
          <w:tcPr>
            <w:tcW w:type="dxa" w:w="3324"/>
          </w:tcPr>
          <w:p>
            <w:r>
              <w:rPr>
                <w:b w:val="0"/>
                <w:i w:val="0"/>
                <w:sz w:val="18"/>
              </w:rPr>
              <w:t>отбелязаните точки от MIM0, MIM1, MIM2, MIM3 (само 3.1), MIM6 (без 6.4) и MIM7, дума по дума, с кода от спецификацията, плюс изречението за еквивалентност</w:t>
            </w:r>
          </w:p>
        </w:tc>
      </w:tr>
      <w:tr>
        <w:tc>
          <w:tcPr>
            <w:tcW w:type="dxa" w:w="3324"/>
          </w:tcPr>
          <w:p>
            <w:r>
              <w:rPr>
                <w:b/>
                <w:i w:val="0"/>
                <w:color w:val="2F3F9E"/>
                <w:sz w:val="18"/>
              </w:rPr>
              <w:t>Условия за участие</w:t>
            </w:r>
          </w:p>
        </w:tc>
        <w:tc>
          <w:tcPr>
            <w:tcW w:type="dxa" w:w="3324"/>
          </w:tcPr>
          <w:p>
            <w:r>
              <w:rPr>
                <w:b w:val="0"/>
                <w:i w:val="0"/>
                <w:color w:val="646B82"/>
                <w:sz w:val="17"/>
              </w:rPr>
              <w:t>критерии за подбор (чл. 58 и 62)</w:t>
            </w:r>
          </w:p>
        </w:tc>
        <w:tc>
          <w:tcPr>
            <w:tcW w:type="dxa" w:w="3324"/>
          </w:tcPr>
          <w:p>
            <w:r>
              <w:rPr>
                <w:b w:val="0"/>
                <w:i w:val="0"/>
                <w:sz w:val="18"/>
              </w:rPr>
              <w:t>доказано съответствие с ISO/IEC 27001:2022 или еквивалентно (точка 6.4)</w:t>
            </w:r>
          </w:p>
        </w:tc>
      </w:tr>
      <w:tr>
        <w:tc>
          <w:tcPr>
            <w:tcW w:type="dxa" w:w="3324"/>
          </w:tcPr>
          <w:p>
            <w:r>
              <w:rPr>
                <w:b/>
                <w:i w:val="0"/>
                <w:color w:val="2F3F9E"/>
                <w:sz w:val="18"/>
              </w:rPr>
              <w:t>Средства за доказване</w:t>
            </w:r>
          </w:p>
        </w:tc>
        <w:tc>
          <w:tcPr>
            <w:tcW w:type="dxa" w:w="3324"/>
          </w:tcPr>
          <w:p>
            <w:r>
              <w:rPr>
                <w:b w:val="0"/>
                <w:i w:val="0"/>
                <w:color w:val="646B82"/>
                <w:sz w:val="17"/>
              </w:rPr>
              <w:t>протоколи от изпитване, сертифициране и други средства за доказване (чл. 44)</w:t>
            </w:r>
          </w:p>
        </w:tc>
        <w:tc>
          <w:tcPr>
            <w:tcW w:type="dxa" w:w="3324"/>
          </w:tcPr>
          <w:p>
            <w:r>
              <w:rPr>
                <w:b w:val="0"/>
                <w:i w:val="0"/>
                <w:sz w:val="18"/>
              </w:rPr>
              <w:t>таблицата за съответствие като задължително приложение към офертата: С, Е или Н за всяка точка, с доказателствата (адрес на документация на API, тестов достъп)</w:t>
            </w:r>
          </w:p>
        </w:tc>
      </w:tr>
      <w:tr>
        <w:tc>
          <w:tcPr>
            <w:tcW w:type="dxa" w:w="3324"/>
          </w:tcPr>
          <w:p>
            <w:r>
              <w:rPr>
                <w:b/>
                <w:i w:val="0"/>
                <w:color w:val="2F3F9E"/>
                <w:sz w:val="18"/>
              </w:rPr>
              <w:t>Проект на договор</w:t>
            </w:r>
          </w:p>
        </w:tc>
        <w:tc>
          <w:tcPr>
            <w:tcW w:type="dxa" w:w="3324"/>
          </w:tcPr>
          <w:p>
            <w:r>
              <w:rPr>
                <w:b w:val="0"/>
                <w:i w:val="0"/>
                <w:color w:val="646B82"/>
                <w:sz w:val="17"/>
              </w:rPr>
              <w:t>условия за изпълнение на договори (чл. 70)</w:t>
            </w:r>
          </w:p>
        </w:tc>
        <w:tc>
          <w:tcPr>
            <w:tcW w:type="dxa" w:w="3324"/>
          </w:tcPr>
          <w:p>
            <w:r>
              <w:rPr>
                <w:b w:val="0"/>
                <w:i w:val="0"/>
                <w:sz w:val="18"/>
              </w:rPr>
              <w:t>Клауза за прекратяване, Права върху данните, Без такси за собствени данни, Стабилност и версиониране на API; попълнената таблица за съответствие като приложение</w:t>
            </w:r>
          </w:p>
        </w:tc>
      </w:tr>
      <w:tr>
        <w:tc>
          <w:tcPr>
            <w:tcW w:type="dxa" w:w="3324"/>
          </w:tcPr>
          <w:p>
            <w:r>
              <w:rPr>
                <w:b/>
                <w:i w:val="0"/>
                <w:color w:val="2F3F9E"/>
                <w:sz w:val="18"/>
              </w:rPr>
              <w:t>Приемателно-предавателен протокол</w:t>
            </w:r>
          </w:p>
        </w:tc>
        <w:tc>
          <w:tcPr>
            <w:tcW w:type="dxa" w:w="3324"/>
          </w:tcPr>
          <w:p>
            <w:r>
              <w:rPr>
                <w:b w:val="0"/>
                <w:i w:val="0"/>
                <w:color w:val="646B82"/>
                <w:sz w:val="17"/>
              </w:rPr>
              <w:t>условия за изпълнение на договори (чл. 70)</w:t>
            </w:r>
          </w:p>
        </w:tc>
        <w:tc>
          <w:tcPr>
            <w:tcW w:type="dxa" w:w="3324"/>
          </w:tcPr>
          <w:p>
            <w:r>
              <w:rPr>
                <w:b w:val="0"/>
                <w:i w:val="0"/>
                <w:sz w:val="18"/>
              </w:rPr>
              <w:t>колоната „Проверено“ от таблицата за съответствие като протокол за тестване</w:t>
            </w:r>
          </w:p>
        </w:tc>
      </w:tr>
    </w:tbl>
    <w:p>
      <w:pPr>
        <w:spacing w:before="200" w:after="80"/>
      </w:pPr>
      <w:r>
        <w:rPr>
          <w:b/>
          <w:i w:val="0"/>
          <w:color w:val="2F3F9E"/>
          <w:sz w:val="22"/>
        </w:rPr>
        <w:t>Примерен текст за техническата спецификация</w:t>
      </w:r>
    </w:p>
    <w:p>
      <w:pPr>
        <w:spacing w:before="40" w:after="60"/>
      </w:pPr>
      <w:r>
        <w:rPr>
          <w:b/>
          <w:i w:val="0"/>
          <w:sz w:val="19"/>
        </w:rPr>
        <w:t>4.3 Оперативна съвместимост и достъп до данни</w:t>
      </w:r>
    </w:p>
    <w:p>
      <w:pPr>
        <w:spacing w:before="40" w:after="60"/>
      </w:pPr>
      <w:r>
        <w:rPr>
          <w:b w:val="0"/>
          <w:i w:val="0"/>
          <w:sz w:val="19"/>
        </w:rPr>
        <w:t>4.3.1 Всички данни, които системата събира или произвежда, могат да се извличат в поне един машинночетим формат (напр. JSON, CSV) през стандартен уеб API. (MIMs Plus 9.0, MIM0 R1.1, R1.2)</w:t>
      </w:r>
    </w:p>
    <w:p>
      <w:pPr>
        <w:spacing w:before="40" w:after="60"/>
      </w:pPr>
      <w:r>
        <w:rPr>
          <w:b w:val="0"/>
          <w:i w:val="0"/>
          <w:sz w:val="19"/>
        </w:rPr>
        <w:t>4.3.2 API е формално описан в отворен, машинночетим документ (например OpenAPI), публикуван на постоянен адрес. (MIM0 R1.3)</w:t>
      </w:r>
    </w:p>
    <w:p>
      <w:pPr>
        <w:spacing w:before="40" w:after="60"/>
      </w:pPr>
      <w:r>
        <w:rPr>
          <w:b w:val="0"/>
          <w:i w:val="0"/>
          <w:sz w:val="19"/>
        </w:rPr>
        <w:t>4.3.3 API позволява филтриране на данните по време и място на измерване. (MIM0 R2.1, R2.2)</w:t>
      </w:r>
    </w:p>
    <w:p>
      <w:pPr>
        <w:spacing w:before="40" w:after="60"/>
      </w:pPr>
      <w:r>
        <w:rPr>
          <w:b w:val="0"/>
          <w:i w:val="0"/>
          <w:sz w:val="19"/>
        </w:rPr>
        <w:t>… 4.3.4 до 4.3.21: останалите отбелязани точки …</w:t>
      </w:r>
    </w:p>
    <w:p>
      <w:pPr>
        <w:spacing w:before="40" w:after="60"/>
      </w:pPr>
      <w:r>
        <w:rPr>
          <w:b w:val="0"/>
          <w:i w:val="0"/>
          <w:sz w:val="19"/>
        </w:rPr>
        <w:t>4.3.22 Всяко позоваване на стандарт или техническа спецификация допуска еквивалентно решение; участникът доказва еквивалентността.</w:t>
      </w:r>
    </w:p>
    <w:p>
      <w:pPr>
        <w:spacing w:before="40" w:after="60"/>
      </w:pPr>
      <w:r>
        <w:rPr>
          <w:b w:val="0"/>
          <w:i w:val="0"/>
          <w:sz w:val="19"/>
        </w:rPr>
        <w:t>4.3.23 Участникът попълва таблицата за съответствие (приложение към документацията за обществената поръчка) и представя доказателства за всяка изисквана точка. По време на оценката на офертите участникът демонстрира точки 4.3.1 до 4.3.21 (например с реално извикване на API); оферта, която не отговаря на изисквана точка, не съответства на изискванията за предмета на поръчката. Възложителят тества точките отново при приемането; неизпълнението им тогава е основание за отказ от приемане.</w:t>
      </w:r>
    </w:p>
    <w:p>
      <w:pPr>
        <w:spacing w:before="120" w:after="80"/>
      </w:pPr>
      <w:r>
        <w:rPr>
          <w:b w:val="0"/>
          <w:i/>
          <w:color w:val="646B82"/>
          <w:sz w:val="18"/>
        </w:rPr>
        <w:t>Точка 4.3.3 показва, че можете да конкретизирате изискване спрямо предмета на поръчката: за сензори е логично да се изисква филтриране по време и място на измерване.</w:t>
      </w:r>
    </w:p>
    <w:p>
      <w:pPr>
        <w:spacing w:before="160" w:after="80"/>
      </w:pPr>
      <w:r>
        <w:rPr>
          <w:b/>
          <w:i w:val="0"/>
          <w:color w:val="2F3F9E"/>
          <w:sz w:val="22"/>
        </w:rPr>
        <w:t>Попълнена таблица за съответствие (извадка)</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Изискване (кратко)</w:t>
            </w:r>
          </w:p>
        </w:tc>
        <w:tc>
          <w:tcPr>
            <w:tcW w:type="dxa" w:w="1994"/>
            <w:shd w:val="clear" w:fill="EEF0FB"/>
          </w:tcPr>
          <w:p>
            <w:r>
              <w:rPr>
                <w:b/>
                <w:i w:val="0"/>
                <w:color w:val="2F3F9E"/>
                <w:sz w:val="17"/>
              </w:rPr>
              <w:t>С / Е / Н</w:t>
            </w:r>
          </w:p>
        </w:tc>
        <w:tc>
          <w:tcPr>
            <w:tcW w:type="dxa" w:w="1994"/>
            <w:shd w:val="clear" w:fill="EEF0FB"/>
          </w:tcPr>
          <w:p>
            <w:r>
              <w:rPr>
                <w:b/>
                <w:i w:val="0"/>
                <w:color w:val="2F3F9E"/>
                <w:sz w:val="17"/>
              </w:rPr>
              <w:t>Доказателства: как и къде</w:t>
            </w:r>
          </w:p>
        </w:tc>
        <w:tc>
          <w:tcPr>
            <w:tcW w:type="dxa" w:w="1994"/>
            <w:shd w:val="clear" w:fill="EEF0FB"/>
          </w:tcPr>
          <w:p>
            <w:r>
              <w:rPr>
                <w:b/>
                <w:i w:val="0"/>
                <w:color w:val="2F3F9E"/>
                <w:sz w:val="17"/>
              </w:rPr>
              <w:t>Проверено</w:t>
            </w:r>
          </w:p>
        </w:tc>
      </w:tr>
      <w:tr>
        <w:tc>
          <w:tcPr>
            <w:tcW w:type="dxa" w:w="1994"/>
          </w:tcPr>
          <w:p>
            <w:r>
              <w:rPr>
                <w:b w:val="0"/>
                <w:i w:val="0"/>
                <w:sz w:val="17"/>
              </w:rPr>
              <w:t>0.1</w:t>
            </w:r>
          </w:p>
        </w:tc>
        <w:tc>
          <w:tcPr>
            <w:tcW w:type="dxa" w:w="1994"/>
          </w:tcPr>
          <w:p>
            <w:r>
              <w:rPr>
                <w:b w:val="0"/>
                <w:i w:val="0"/>
                <w:sz w:val="17"/>
              </w:rPr>
              <w:t>Машинночетими данни чрез стандартен уеб API</w:t>
            </w:r>
          </w:p>
        </w:tc>
        <w:tc>
          <w:tcPr>
            <w:tcW w:type="dxa" w:w="1994"/>
          </w:tcPr>
          <w:p>
            <w:r>
              <w:rPr>
                <w:b w:val="0"/>
                <w:i w:val="0"/>
                <w:sz w:val="17"/>
              </w:rPr>
              <w:t>С</w:t>
            </w:r>
          </w:p>
        </w:tc>
        <w:tc>
          <w:tcPr>
            <w:tcW w:type="dxa" w:w="1994"/>
          </w:tcPr>
          <w:p>
            <w:r>
              <w:rPr>
                <w:b w:val="0"/>
                <w:i w:val="0"/>
                <w:sz w:val="17"/>
              </w:rPr>
              <w:t>REST API връща JSON и CSV; документация на адреса, посочен в офертата, стр. 12; тестов достъп в приложение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Абонамент за промени при необходимост</w:t>
            </w:r>
          </w:p>
        </w:tc>
        <w:tc>
          <w:tcPr>
            <w:tcW w:type="dxa" w:w="1994"/>
          </w:tcPr>
          <w:p>
            <w:r>
              <w:rPr>
                <w:b w:val="0"/>
                <w:i w:val="0"/>
                <w:sz w:val="17"/>
              </w:rPr>
              <w:t>Н</w:t>
            </w:r>
          </w:p>
        </w:tc>
        <w:tc>
          <w:tcPr>
            <w:tcW w:type="dxa" w:w="1994"/>
          </w:tcPr>
          <w:p>
            <w:r>
              <w:rPr>
                <w:b w:val="0"/>
                <w:i w:val="0"/>
                <w:sz w:val="17"/>
              </w:rPr>
              <w:t>все още не се поддържа; планирано за следващата версия</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Отворени геоформати</w:t>
            </w:r>
          </w:p>
        </w:tc>
        <w:tc>
          <w:tcPr>
            <w:tcW w:type="dxa" w:w="1994"/>
          </w:tcPr>
          <w:p>
            <w:r>
              <w:rPr>
                <w:b w:val="0"/>
                <w:i w:val="0"/>
                <w:sz w:val="17"/>
              </w:rPr>
              <w:t>Е</w:t>
            </w:r>
          </w:p>
        </w:tc>
        <w:tc>
          <w:tcPr>
            <w:tcW w:type="dxa" w:w="1994"/>
          </w:tcPr>
          <w:p>
            <w:r>
              <w:rPr>
                <w:b w:val="0"/>
                <w:i w:val="0"/>
                <w:sz w:val="17"/>
              </w:rPr>
              <w:t>предоставя GeoPackage, отворен OGC стандарт, вместо GeoJSON; еквивалентността е обоснована в офертата, стр. 15</w:t>
            </w:r>
          </w:p>
        </w:tc>
        <w:tc>
          <w:tcPr>
            <w:tcW w:type="dxa" w:w="1994"/>
          </w:tcPr>
          <w:p>
            <w:r>
              <w:rPr>
                <w:b w:val="0"/>
                <w:i w:val="0"/>
                <w:sz w:val="17"/>
              </w:rPr>
              <w:t>✓</w:t>
            </w:r>
          </w:p>
        </w:tc>
      </w:tr>
    </w:tbl>
    <w:p>
      <w:pPr>
        <w:spacing w:before="80" w:after="80"/>
      </w:pPr>
      <w:r>
        <w:rPr>
          <w:b w:val="0"/>
          <w:i/>
          <w:color w:val="646B82"/>
          <w:sz w:val="18"/>
        </w:rPr>
        <w:t>Обещание за бъдеща функционалност се зачита като Н: комисията проверява единствено онова, което участникът може да покаже. За задължителна точка Н означава, че офертата не съответства на изискванията за предмета на поръчката.</w:t>
      </w:r>
    </w:p>
    <w:p>
      <w:pPr>
        <w:spacing w:before="40" w:after="80"/>
      </w:pPr>
      <w:r>
        <w:rPr>
          <w:b w:val="0"/>
          <w:i/>
          <w:color w:val="646B82"/>
          <w:sz w:val="18"/>
        </w:rPr>
        <w:t>Адаптирайте текста към националното законодателство и го съгласувайте с лицето, отговорно за обществените поръчки.</w:t>
      </w:r>
    </w:p>
    <w:p>
      <w:r>
        <w:br w:type="page"/>
      </w:r>
    </w:p>
    <w:p>
      <w:pPr>
        <w:spacing w:before="120" w:after="160"/>
      </w:pPr>
      <w:r>
        <w:rPr>
          <w:b/>
          <w:i w:val="0"/>
          <w:color w:val="2F3F9E"/>
          <w:sz w:val="36"/>
        </w:rPr>
        <w:t>Таблица за съответствие</w:t>
      </w:r>
    </w:p>
    <w:p>
      <w:pPr>
        <w:spacing w:before="40" w:after="80"/>
      </w:pPr>
      <w:r>
        <w:rPr>
          <w:b w:val="0"/>
          <w:i w:val="0"/>
          <w:sz w:val="19"/>
        </w:rPr>
        <w:t>По един ред за всяка точка. Възложителят отбелязва изискваното по договора и прилага таблицата към документацията за обществената поръчка като задължително приложение към офертата. За всяка изисквана точка участникът вписва С (съответства), Е (съответства чрез еквивалент) или Н (не съответства), кратко пояснение как и къде се намират доказателствата: адрес на документация, тестов достъп, страница от офертата. Декларация без доказателства не е достатъчна. Оценителната комисия проверява всяка точка при оценката на офертите и отново при приемането (✓ потвърдено, ✗ не е потвърдено, — не е проверявано).</w:t>
      </w:r>
    </w:p>
    <w:p>
      <w:pPr>
        <w:spacing w:before="40" w:after="160"/>
      </w:pPr>
      <w:r>
        <w:rPr>
          <w:b w:val="0"/>
          <w:i w:val="0"/>
          <w:sz w:val="19"/>
        </w:rPr>
        <w:t>Попълнената таблица е част от офертата и става неразделна част от договора. Тя удостоверява съответствието с изискванията към предмета на поръчката (съответства или не съответства); тя не е критерий за възлагане. За да оценявате степента на съответствие, посочете това сред предварително публикуваните критерии за възлагане в документацията за поръчката (Директива 2014/24/ЕС, член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Изискване (кратко)</w:t>
            </w:r>
          </w:p>
        </w:tc>
        <w:tc>
          <w:tcPr>
            <w:tcW w:type="dxa" w:w="1701"/>
            <w:shd w:val="clear" w:fill="EEF0FB"/>
          </w:tcPr>
          <w:p>
            <w:r>
              <w:rPr>
                <w:b/>
                <w:i w:val="0"/>
                <w:color w:val="2F3F9E"/>
                <w:sz w:val="17"/>
              </w:rPr>
              <w:t>Реф. спец.</w:t>
            </w:r>
          </w:p>
        </w:tc>
        <w:tc>
          <w:tcPr>
            <w:tcW w:type="dxa" w:w="1077"/>
            <w:shd w:val="clear" w:fill="EEF0FB"/>
          </w:tcPr>
          <w:p>
            <w:r>
              <w:rPr>
                <w:b/>
                <w:i w:val="0"/>
                <w:color w:val="2F3F9E"/>
                <w:sz w:val="17"/>
              </w:rPr>
              <w:t>Изисква ли се?</w:t>
            </w:r>
          </w:p>
          <w:p>
            <w:r>
              <w:rPr>
                <w:b w:val="0"/>
                <w:i/>
                <w:color w:val="646B82"/>
                <w:sz w:val="15"/>
              </w:rPr>
              <w:t>възложител</w:t>
            </w:r>
          </w:p>
        </w:tc>
        <w:tc>
          <w:tcPr>
            <w:tcW w:type="dxa" w:w="794"/>
            <w:shd w:val="clear" w:fill="EEF0FB"/>
          </w:tcPr>
          <w:p>
            <w:r>
              <w:rPr>
                <w:b/>
                <w:i w:val="0"/>
                <w:color w:val="2F3F9E"/>
                <w:sz w:val="17"/>
              </w:rPr>
              <w:t>С / Е / Н</w:t>
            </w:r>
          </w:p>
          <w:p>
            <w:r>
              <w:rPr>
                <w:b w:val="0"/>
                <w:i/>
                <w:color w:val="646B82"/>
                <w:sz w:val="15"/>
              </w:rPr>
              <w:t>участник</w:t>
            </w:r>
          </w:p>
        </w:tc>
        <w:tc>
          <w:tcPr>
            <w:tcW w:type="dxa" w:w="2154"/>
            <w:shd w:val="clear" w:fill="EEF0FB"/>
          </w:tcPr>
          <w:p>
            <w:r>
              <w:rPr>
                <w:b/>
                <w:i w:val="0"/>
                <w:color w:val="2F3F9E"/>
                <w:sz w:val="17"/>
              </w:rPr>
              <w:t>Доказателства: как и къде</w:t>
            </w:r>
          </w:p>
          <w:p>
            <w:r>
              <w:rPr>
                <w:b w:val="0"/>
                <w:i/>
                <w:color w:val="646B82"/>
                <w:sz w:val="15"/>
              </w:rPr>
              <w:t>участник</w:t>
            </w:r>
          </w:p>
        </w:tc>
        <w:tc>
          <w:tcPr>
            <w:tcW w:type="dxa" w:w="794"/>
            <w:shd w:val="clear" w:fill="EEF0FB"/>
          </w:tcPr>
          <w:p>
            <w:r>
              <w:rPr>
                <w:b/>
                <w:i w:val="0"/>
                <w:color w:val="2F3F9E"/>
                <w:sz w:val="17"/>
              </w:rPr>
              <w:t>Проверено</w:t>
            </w:r>
          </w:p>
          <w:p>
            <w:r>
              <w:rPr>
                <w:b w:val="0"/>
                <w:i/>
                <w:color w:val="646B82"/>
                <w:sz w:val="15"/>
              </w:rPr>
              <w:t>комисия</w:t>
            </w:r>
          </w:p>
        </w:tc>
      </w:tr>
      <w:tr>
        <w:tc>
          <w:tcPr>
            <w:tcW w:type="dxa" w:w="9975"/>
            <w:gridSpan w:val="7"/>
            <w:shd w:val="clear" w:fill="2F3F9E"/>
          </w:tcPr>
          <w:p>
            <w:r>
              <w:rPr>
                <w:b/>
                <w:i w:val="0"/>
                <w:color w:val="FFFFFF"/>
                <w:sz w:val="17"/>
              </w:rPr>
              <w:t>MIM0 · Можем ли да извлечем данните си?</w:t>
            </w:r>
          </w:p>
        </w:tc>
      </w:tr>
      <w:tr>
        <w:tc>
          <w:tcPr>
            <w:tcW w:type="dxa" w:w="567"/>
          </w:tcPr>
          <w:p>
            <w:r>
              <w:rPr>
                <w:b w:val="0"/>
                <w:i w:val="0"/>
                <w:sz w:val="17"/>
              </w:rPr>
              <w:t>0.1</w:t>
            </w:r>
          </w:p>
        </w:tc>
        <w:tc>
          <w:tcPr>
            <w:tcW w:type="dxa" w:w="2608"/>
          </w:tcPr>
          <w:p>
            <w:r>
              <w:rPr>
                <w:b w:val="0"/>
                <w:i w:val="0"/>
                <w:sz w:val="17"/>
              </w:rPr>
              <w:t>Машинночетими данни чрез стандартен уеб 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Отворено описание на API (OpenAPI) на постоянен адрес</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Филтриране по време, място, атрибути</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Абонамент за промени при необходимост</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Стандартни HTTP грешки, кеширане, лимити</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Всяко нещо има ли трайно наименование?</w:t>
            </w:r>
          </w:p>
        </w:tc>
      </w:tr>
      <w:tr>
        <w:tc>
          <w:tcPr>
            <w:tcW w:type="dxa" w:w="567"/>
          </w:tcPr>
          <w:p>
            <w:r>
              <w:rPr>
                <w:b w:val="0"/>
                <w:i w:val="0"/>
                <w:sz w:val="17"/>
              </w:rPr>
              <w:t>1.1</w:t>
            </w:r>
          </w:p>
        </w:tc>
        <w:tc>
          <w:tcPr>
            <w:tcW w:type="dxa" w:w="2608"/>
          </w:tcPr>
          <w:p>
            <w:r>
              <w:rPr>
                <w:b w:val="0"/>
                <w:i w:val="0"/>
                <w:sz w:val="17"/>
              </w:rPr>
              <w:t>Уникален постоянен идентификатор за всеки обект</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Справката по идентификатор връща данни + тип</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Съпоставяне на идентификатори между системи</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Без вътрешни данни на доставчика в идентификаторите</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Говорим ли на общ език?</w:t>
            </w:r>
          </w:p>
        </w:tc>
      </w:tr>
      <w:tr>
        <w:tc>
          <w:tcPr>
            <w:tcW w:type="dxa" w:w="567"/>
          </w:tcPr>
          <w:p>
            <w:r>
              <w:rPr>
                <w:b w:val="0"/>
                <w:i w:val="0"/>
                <w:sz w:val="17"/>
              </w:rPr>
              <w:t>2.1</w:t>
            </w:r>
          </w:p>
        </w:tc>
        <w:tc>
          <w:tcPr>
            <w:tcW w:type="dxa" w:w="2608"/>
          </w:tcPr>
          <w:p>
            <w:r>
              <w:rPr>
                <w:b w:val="0"/>
                <w:i w:val="0"/>
                <w:sz w:val="17"/>
              </w:rPr>
              <w:t>Стандартни модели на данни, където е възможно</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Документирани модели, ясни мерни единици</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Разширения като профили, никога разклонения</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Отворена, валидируема спрямо схема сериализация</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Можем ли да споделяме при ясни условия?</w:t>
            </w:r>
          </w:p>
        </w:tc>
      </w:tr>
      <w:tr>
        <w:tc>
          <w:tcPr>
            <w:tcW w:type="dxa" w:w="567"/>
          </w:tcPr>
          <w:p>
            <w:r>
              <w:rPr>
                <w:b w:val="0"/>
                <w:i w:val="0"/>
                <w:sz w:val="17"/>
              </w:rPr>
              <w:t>3.1</w:t>
            </w:r>
          </w:p>
        </w:tc>
        <w:tc>
          <w:tcPr>
            <w:tcW w:type="dxa" w:w="2608"/>
          </w:tcPr>
          <w:p>
            <w:r>
              <w:rPr>
                <w:b w:val="0"/>
                <w:i w:val="0"/>
                <w:sz w:val="17"/>
              </w:rPr>
              <w:t>Каталогизирани данни със стандартни метаданни</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Типови лицензи и споразумения</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Общината контролира сама условията за достъп</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Защитени ли са данните ни?</w:t>
            </w:r>
          </w:p>
        </w:tc>
      </w:tr>
      <w:tr>
        <w:tc>
          <w:tcPr>
            <w:tcW w:type="dxa" w:w="567"/>
          </w:tcPr>
          <w:p>
            <w:r>
              <w:rPr>
                <w:b w:val="0"/>
                <w:i w:val="0"/>
                <w:sz w:val="17"/>
              </w:rPr>
              <w:t>6.1</w:t>
            </w:r>
          </w:p>
        </w:tc>
        <w:tc>
          <w:tcPr>
            <w:tcW w:type="dxa" w:w="2608"/>
          </w:tcPr>
          <w:p>
            <w:r>
              <w:rPr>
                <w:b w:val="0"/>
                <w:i w:val="0"/>
                <w:sz w:val="17"/>
              </w:rPr>
              <w:t>Криптиран пренос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Стандартен вход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Достъп според ролята + одитни журнали</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Доказано съответствие с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Работи ли върху карта?</w:t>
            </w:r>
          </w:p>
        </w:tc>
      </w:tr>
      <w:tr>
        <w:tc>
          <w:tcPr>
            <w:tcW w:type="dxa" w:w="567"/>
          </w:tcPr>
          <w:p>
            <w:r>
              <w:rPr>
                <w:b w:val="0"/>
                <w:i w:val="0"/>
                <w:sz w:val="17"/>
              </w:rPr>
              <w:t>7.1</w:t>
            </w:r>
          </w:p>
        </w:tc>
        <w:tc>
          <w:tcPr>
            <w:tcW w:type="dxa" w:w="2608"/>
          </w:tcPr>
          <w:p>
            <w:r>
              <w:rPr>
                <w:b w:val="0"/>
                <w:i w:val="0"/>
                <w:sz w:val="17"/>
              </w:rPr>
              <w:t>Стандартни OGC интерфейси</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Отворени геоформати</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Обявена CRS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Постоянни ID за пространствени обекти (вж.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Може ли цифровият ни двойник да се развива?</w:t>
            </w:r>
          </w:p>
        </w:tc>
      </w:tr>
      <w:tr>
        <w:tc>
          <w:tcPr>
            <w:tcW w:type="dxa" w:w="567"/>
          </w:tcPr>
          <w:p>
            <w:r>
              <w:rPr>
                <w:b w:val="0"/>
                <w:i w:val="0"/>
                <w:sz w:val="17"/>
              </w:rPr>
              <w:t>8.1</w:t>
            </w:r>
          </w:p>
        </w:tc>
        <w:tc>
          <w:tcPr>
            <w:tcW w:type="dxa" w:w="2608"/>
          </w:tcPr>
          <w:p>
            <w:r>
              <w:rPr>
                <w:b w:val="0"/>
                <w:i w:val="0"/>
                <w:sz w:val="17"/>
              </w:rPr>
              <w:t>Данни и резултати на двойника през API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Документирани и извикваеми модели</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Стандартни изходни формати</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Записан произход на работните процеси</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Хоризонтални договорни клаузи   Участникът потвърждава приемането на договорното условие (С / Н).</w:t>
            </w:r>
          </w:p>
        </w:tc>
      </w:tr>
      <w:tr>
        <w:tc>
          <w:tcPr>
            <w:tcW w:type="dxa" w:w="567"/>
          </w:tcPr>
          <w:p>
            <w:r>
              <w:rPr>
                <w:b w:val="0"/>
                <w:i w:val="0"/>
                <w:sz w:val="17"/>
              </w:rPr>
              <w:t>X.1</w:t>
            </w:r>
          </w:p>
        </w:tc>
        <w:tc>
          <w:tcPr>
            <w:tcW w:type="dxa" w:w="2608"/>
          </w:tcPr>
          <w:p>
            <w:r>
              <w:rPr>
                <w:b w:val="0"/>
                <w:i w:val="0"/>
                <w:sz w:val="17"/>
              </w:rPr>
              <w:t>Прекратяване: безплатно предаване в отворени формати</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Правата върху данните принадлежат на възложителя</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Без такси за достъп до собствените данни</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Стабилност на API: версии, 6 мес. предизвестие за промени</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Кратките наименования по-долу заместват пълните точки от страниците на MIM — при съмнение водещ е пълният текст на съответната точка.</w:t>
      </w:r>
    </w:p>
    <w:p>
      <w:pPr>
        <w:spacing w:before="40" w:after="80"/>
      </w:pPr>
      <w:r>
        <w:rPr>
          <w:b w:val="0"/>
          <w:i w:val="0"/>
          <w:color w:val="646B82"/>
          <w:sz w:val="17"/>
        </w:rPr>
        <w:t>Версия на таблицата за редактиране е достъпна на: https://www.joinedcontext.com/mims/</w:t>
      </w:r>
    </w:p>
    <w:p>
      <w:r>
        <w:br w:type="page"/>
      </w:r>
    </w:p>
    <w:p>
      <w:pPr>
        <w:spacing w:before="120" w:after="160"/>
      </w:pPr>
      <w:r>
        <w:rPr>
          <w:b/>
          <w:i w:val="0"/>
          <w:color w:val="2F3F9E"/>
          <w:sz w:val="36"/>
        </w:rPr>
        <w:t>Кратък речник</w:t>
      </w:r>
    </w:p>
    <w:p>
      <w:pPr>
        <w:spacing w:before="40" w:after="120"/>
      </w:pPr>
      <w:r>
        <w:rPr>
          <w:b/>
          <w:i w:val="0"/>
          <w:color w:val="2F3F9E"/>
          <w:sz w:val="20"/>
        </w:rPr>
        <w:t xml:space="preserve">API  —  </w:t>
      </w:r>
      <w:r>
        <w:rPr>
          <w:b w:val="0"/>
          <w:i w:val="0"/>
          <w:sz w:val="20"/>
        </w:rPr>
        <w:t>Интерфейс, чрез който една програма изисква данни от друга — през уеб мрежата, без намесата на потребител.</w:t>
      </w:r>
    </w:p>
    <w:p>
      <w:pPr>
        <w:spacing w:before="40" w:after="120"/>
      </w:pPr>
      <w:r>
        <w:rPr>
          <w:b/>
          <w:i w:val="0"/>
          <w:color w:val="2F3F9E"/>
          <w:sz w:val="20"/>
        </w:rPr>
        <w:t xml:space="preserve">Модел на данни  —  </w:t>
      </w:r>
      <w:r>
        <w:rPr>
          <w:b w:val="0"/>
          <w:i w:val="0"/>
          <w:sz w:val="20"/>
        </w:rPr>
        <w:t>Съгласуваната структура на данните: кои полета съществуват, какво означават и какви мерни единици използват.</w:t>
      </w:r>
    </w:p>
    <w:p>
      <w:pPr>
        <w:spacing w:before="40" w:after="120"/>
      </w:pPr>
      <w:r>
        <w:rPr>
          <w:b/>
          <w:i w:val="0"/>
          <w:color w:val="2F3F9E"/>
          <w:sz w:val="20"/>
        </w:rPr>
        <w:t xml:space="preserve">DCAT-AP  —  </w:t>
      </w:r>
      <w:r>
        <w:rPr>
          <w:b w:val="0"/>
          <w:i w:val="0"/>
          <w:sz w:val="20"/>
        </w:rPr>
        <w:t>Европейски профил за метаданни за каталози с данни; позволява наборите от данни да бъдат откривани и на национални и европейски портали.</w:t>
      </w:r>
    </w:p>
    <w:p>
      <w:pPr>
        <w:spacing w:before="40" w:after="120"/>
      </w:pPr>
      <w:r>
        <w:rPr>
          <w:b/>
          <w:i w:val="0"/>
          <w:color w:val="2F3F9E"/>
          <w:sz w:val="20"/>
        </w:rPr>
        <w:t xml:space="preserve">EPSG  —  </w:t>
      </w:r>
      <w:r>
        <w:rPr>
          <w:b w:val="0"/>
          <w:i w:val="0"/>
          <w:sz w:val="20"/>
        </w:rPr>
        <w:t>Регистър от числови кодове за координатни референтни системи (напр. EPSG:4326 за WGS 84).</w:t>
      </w:r>
    </w:p>
    <w:p>
      <w:pPr>
        <w:spacing w:before="40" w:after="120"/>
      </w:pPr>
      <w:r>
        <w:rPr>
          <w:b/>
          <w:i w:val="0"/>
          <w:color w:val="2F3F9E"/>
          <w:sz w:val="20"/>
        </w:rPr>
        <w:t xml:space="preserve">Идентификатор  —  </w:t>
      </w:r>
      <w:r>
        <w:rPr>
          <w:b w:val="0"/>
          <w:i w:val="0"/>
          <w:sz w:val="20"/>
        </w:rPr>
        <w:t>Постоянно наименование за един обект (един стълб, една сграда), което всички системи използват за обозначаването му.</w:t>
      </w:r>
    </w:p>
    <w:p>
      <w:pPr>
        <w:spacing w:before="40" w:after="120"/>
      </w:pPr>
      <w:r>
        <w:rPr>
          <w:b/>
          <w:i w:val="0"/>
          <w:color w:val="2F3F9E"/>
          <w:sz w:val="20"/>
        </w:rPr>
        <w:t xml:space="preserve">Оперативна съвместимост  —  </w:t>
      </w:r>
      <w:r>
        <w:rPr>
          <w:b w:val="0"/>
          <w:i w:val="0"/>
          <w:sz w:val="20"/>
        </w:rPr>
        <w:t>Способността на системи от различни доставчици да обменят данни и да ги интерпретират еднозначно.</w:t>
      </w:r>
    </w:p>
    <w:p>
      <w:pPr>
        <w:spacing w:before="40" w:after="120"/>
      </w:pPr>
      <w:r>
        <w:rPr>
          <w:b/>
          <w:i w:val="0"/>
          <w:color w:val="2F3F9E"/>
          <w:sz w:val="20"/>
        </w:rPr>
        <w:t xml:space="preserve">IRI  —  </w:t>
      </w:r>
      <w:r>
        <w:rPr>
          <w:b w:val="0"/>
          <w:i w:val="0"/>
          <w:sz w:val="20"/>
        </w:rPr>
        <w:t>Интернационализирана форма на уеб идентификатор (подобно на URL, с позволени символи извън ASCII). MIM1 го използва за именуване на обекти.</w:t>
      </w:r>
    </w:p>
    <w:p>
      <w:pPr>
        <w:spacing w:before="40" w:after="120"/>
      </w:pPr>
      <w:r>
        <w:rPr>
          <w:b/>
          <w:i w:val="0"/>
          <w:color w:val="2F3F9E"/>
          <w:sz w:val="20"/>
        </w:rPr>
        <w:t xml:space="preserve">LDT  —  </w:t>
      </w:r>
      <w:r>
        <w:rPr>
          <w:b w:val="0"/>
          <w:i w:val="0"/>
          <w:sz w:val="20"/>
        </w:rPr>
        <w:t>Местен цифров двойник: цифров модел на град или част от него, свързан с реални данни и симулации.</w:t>
      </w:r>
    </w:p>
    <w:p>
      <w:pPr>
        <w:spacing w:before="40" w:after="120"/>
      </w:pPr>
      <w:r>
        <w:rPr>
          <w:b/>
          <w:i w:val="0"/>
          <w:color w:val="2F3F9E"/>
          <w:sz w:val="20"/>
        </w:rPr>
        <w:t xml:space="preserve">Машинночетим  —  </w:t>
      </w:r>
      <w:r>
        <w:rPr>
          <w:b w:val="0"/>
          <w:i w:val="0"/>
          <w:sz w:val="20"/>
        </w:rPr>
        <w:t>Структуриран така, че програма да може да го обработва директно (JSON, CSV) — PDF файл на таблица не е машинночетим.</w:t>
      </w:r>
    </w:p>
    <w:p>
      <w:pPr>
        <w:spacing w:before="40" w:after="120"/>
      </w:pPr>
      <w:r>
        <w:rPr>
          <w:b/>
          <w:i w:val="0"/>
          <w:color w:val="2F3F9E"/>
          <w:sz w:val="20"/>
        </w:rPr>
        <w:t xml:space="preserve">Метаданни  —  </w:t>
      </w:r>
      <w:r>
        <w:rPr>
          <w:b w:val="0"/>
          <w:i w:val="0"/>
          <w:sz w:val="20"/>
        </w:rPr>
        <w:t>Данни за данните: какво съдържа наборът от данни, кой го предоставя, колко е актуален и под какъв лиценз.</w:t>
      </w:r>
    </w:p>
    <w:p>
      <w:pPr>
        <w:spacing w:before="40" w:after="120"/>
      </w:pPr>
      <w:r>
        <w:rPr>
          <w:b/>
          <w:i w:val="0"/>
          <w:color w:val="2F3F9E"/>
          <w:sz w:val="20"/>
        </w:rPr>
        <w:t xml:space="preserve">OAuth 2.0 / OIDC  —  </w:t>
      </w:r>
      <w:r>
        <w:rPr>
          <w:b w:val="0"/>
          <w:i w:val="0"/>
          <w:sz w:val="20"/>
        </w:rPr>
        <w:t>Отворени стандарти за автентикация и за предоставяне на достъп. OpenID Connect (OIDC) добавя проверка на самоличността към OAuth 2.0.</w:t>
      </w:r>
    </w:p>
    <w:p>
      <w:pPr>
        <w:spacing w:before="40" w:after="120"/>
      </w:pPr>
      <w:r>
        <w:rPr>
          <w:b/>
          <w:i w:val="0"/>
          <w:color w:val="2F3F9E"/>
          <w:sz w:val="20"/>
        </w:rPr>
        <w:t xml:space="preserve">OGC  —  </w:t>
      </w:r>
      <w:r>
        <w:rPr>
          <w:b w:val="0"/>
          <w:i w:val="0"/>
          <w:sz w:val="20"/>
        </w:rPr>
        <w:t>Open Geospatial Consortium: организацията, която публикува стандарти за геопространствени данни и услуги (OGC API, WFS, SensorThings).</w:t>
      </w:r>
    </w:p>
    <w:p>
      <w:pPr>
        <w:spacing w:before="40" w:after="120"/>
      </w:pPr>
      <w:r>
        <w:rPr>
          <w:b/>
          <w:i w:val="0"/>
          <w:color w:val="2F3F9E"/>
          <w:sz w:val="20"/>
        </w:rPr>
        <w:t xml:space="preserve">Отворен стандарт  —  </w:t>
      </w:r>
      <w:r>
        <w:rPr>
          <w:b w:val="0"/>
          <w:i w:val="0"/>
          <w:sz w:val="20"/>
        </w:rPr>
        <w:t>Техническо правило, което всеки може да чете и прилага безплатно и без специално разрешение.</w:t>
      </w:r>
    </w:p>
    <w:p>
      <w:pPr>
        <w:spacing w:before="40" w:after="120"/>
      </w:pPr>
      <w:r>
        <w:rPr>
          <w:b/>
          <w:i w:val="0"/>
          <w:color w:val="2F3F9E"/>
          <w:sz w:val="20"/>
        </w:rPr>
        <w:t xml:space="preserve">OpenAPI  —  </w:t>
      </w:r>
      <w:r>
        <w:rPr>
          <w:b w:val="0"/>
          <w:i w:val="0"/>
          <w:sz w:val="20"/>
        </w:rPr>
        <w:t>Отворен формат за машинночетимо описание на уеб API: адреси, параметри, отговори.</w:t>
      </w:r>
    </w:p>
    <w:p>
      <w:pPr>
        <w:spacing w:before="40" w:after="120"/>
      </w:pPr>
      <w:r>
        <w:rPr>
          <w:b/>
          <w:i w:val="0"/>
          <w:color w:val="2F3F9E"/>
          <w:sz w:val="20"/>
        </w:rPr>
        <w:t xml:space="preserve">Сериализация  —  </w:t>
      </w:r>
      <w:r>
        <w:rPr>
          <w:b w:val="0"/>
          <w:i w:val="0"/>
          <w:sz w:val="20"/>
        </w:rPr>
        <w:t>Записване на данни в конкретен формат (напр. JSON, XML), така че да могат да се съхраняват или предават.</w:t>
      </w:r>
    </w:p>
    <w:p>
      <w:pPr>
        <w:spacing w:before="40" w:after="120"/>
      </w:pPr>
      <w:r>
        <w:rPr>
          <w:b/>
          <w:i w:val="0"/>
          <w:color w:val="2F3F9E"/>
          <w:sz w:val="20"/>
        </w:rPr>
        <w:t xml:space="preserve">TLS  —  </w:t>
      </w:r>
      <w:r>
        <w:rPr>
          <w:b w:val="0"/>
          <w:i w:val="0"/>
          <w:sz w:val="20"/>
        </w:rPr>
        <w:t>Протоколът, който криптира преноса на данни в мрежата (основата на HTTPS).</w:t>
      </w:r>
    </w:p>
    <w:p>
      <w:pPr>
        <w:spacing w:before="40" w:after="120"/>
      </w:pPr>
      <w:r>
        <w:rPr>
          <w:b/>
          <w:i w:val="0"/>
          <w:color w:val="2F3F9E"/>
          <w:sz w:val="20"/>
        </w:rPr>
        <w:t xml:space="preserve">Обвързване към доставчик  —  </w:t>
      </w:r>
      <w:r>
        <w:rPr>
          <w:b w:val="0"/>
          <w:i w:val="0"/>
          <w:sz w:val="20"/>
        </w:rPr>
        <w:t>Състояние, при което разходите за данни, формати или такси правят смяната на доставчик практически невъзможна.</w:t>
      </w:r>
    </w:p>
    <w:p>
      <w:pPr>
        <w:spacing w:before="40" w:after="120"/>
      </w:pPr>
      <w:r>
        <w:rPr>
          <w:b/>
          <w:i w:val="0"/>
          <w:color w:val="2F3F9E"/>
          <w:sz w:val="20"/>
        </w:rPr>
        <w:t xml:space="preserve">Уебхук / MQTT  —  </w:t>
      </w:r>
      <w:r>
        <w:rPr>
          <w:b w:val="0"/>
          <w:i w:val="0"/>
          <w:sz w:val="20"/>
        </w:rPr>
        <w:t>Два начина системата сама да съобщава за настъпила промяна: уебхукът извиква ваш адрес, а MQTT доставя съобщения до абонати.</w:t>
      </w:r>
    </w:p>
    <w:p>
      <w:pPr>
        <w:spacing w:before="240" w:after="120"/>
      </w:pPr>
      <w:r>
        <w:rPr>
          <w:b/>
          <w:i w:val="0"/>
          <w:color w:val="0B7485"/>
          <w:sz w:val="24"/>
        </w:rPr>
        <w:t>Къде да научите повече</w:t>
      </w:r>
    </w:p>
    <w:p>
      <w:pPr>
        <w:spacing w:before="40" w:after="100"/>
      </w:pPr>
      <w:hyperlink r:id="rId20">
        <w:r>
          <w:rPr>
            <w:color w:val="2F3F9E"/>
            <w:u w:val="single"/>
            <w:sz w:val="20"/>
          </w:rPr>
          <w:t>mims.oascities.org</w:t>
        </w:r>
      </w:hyperlink>
      <w:r>
        <w:rPr>
          <w:b w:val="0"/>
          <w:i w:val="0"/>
          <w:sz w:val="20"/>
        </w:rPr>
        <w:t xml:space="preserve">  —  Пълната спецификация MIMs Plus, поддържана от OASC.</w:t>
      </w:r>
    </w:p>
    <w:p>
      <w:pPr>
        <w:spacing w:before="40" w:after="100"/>
      </w:pPr>
      <w:hyperlink r:id="rId21">
        <w:r>
          <w:rPr>
            <w:color w:val="2F3F9E"/>
            <w:u w:val="single"/>
            <w:sz w:val="20"/>
          </w:rPr>
          <w:t>living-in.eu</w:t>
        </w:r>
      </w:hyperlink>
      <w:r>
        <w:rPr>
          <w:b w:val="0"/>
          <w:i w:val="0"/>
          <w:sz w:val="20"/>
        </w:rPr>
        <w:t xml:space="preserve">  —  Европейското движение за цифрова трансформация на градовете — декларация и контекст на MIMs Plus.</w:t>
      </w:r>
    </w:p>
    <w:p>
      <w:pPr>
        <w:spacing w:before="40" w:after="100"/>
      </w:pPr>
      <w:hyperlink r:id="rId22">
        <w:r>
          <w:rPr>
            <w:color w:val="2F3F9E"/>
            <w:u w:val="single"/>
            <w:sz w:val="20"/>
          </w:rPr>
          <w:t>smartdatamodels.org</w:t>
        </w:r>
      </w:hyperlink>
      <w:r>
        <w:rPr>
          <w:b w:val="0"/>
          <w:i w:val="0"/>
          <w:sz w:val="20"/>
        </w:rPr>
        <w:t xml:space="preserve">  —  Отворената библиотека за стандартни модели на данни (FIWARE, TM Forum, IUDX, OASC).</w:t>
      </w:r>
    </w:p>
    <w:p>
      <w:pPr>
        <w:spacing w:before="40" w:after="100"/>
      </w:pPr>
      <w:hyperlink r:id="rId23">
        <w:r>
          <w:rPr>
            <w:color w:val="2F3F9E"/>
            <w:u w:val="single"/>
            <w:sz w:val="20"/>
          </w:rPr>
          <w:t>oascities.org/academy</w:t>
        </w:r>
      </w:hyperlink>
      <w:r>
        <w:rPr>
          <w:b w:val="0"/>
          <w:i w:val="0"/>
          <w:sz w:val="20"/>
        </w:rPr>
        <w:t xml:space="preserve">  —  CITYxCITY Academy — обучения за общински служители, водени от градовете.</w:t>
      </w:r>
    </w:p>
    <w:p>
      <w:r>
        <w:br w:type="page"/>
      </w:r>
    </w:p>
    <w:p>
      <w:pPr>
        <w:spacing w:before="480" w:after="80"/>
        <w:jc w:val="center"/>
      </w:pPr>
      <w:r>
        <w:rPr>
          <w:b w:val="0"/>
          <w:i w:val="0"/>
          <w:color w:val="646B82"/>
          <w:sz w:val="18"/>
        </w:rPr>
        <w:t>Съставено въз основа на спецификацията MIMs Plus 9.0 от Open &amp; Agile Smart Cities (mims.oascities.org). Съдържание на спецификацията © OASC. Тази брошура е независимо практическо помагало на достъпен език за общински обществени поръчки; в случай на съмнение водеща е спецификацията.</w:t>
      </w:r>
    </w:p>
    <w:p>
      <w:pPr>
        <w:spacing w:before="40" w:after="80"/>
        <w:jc w:val="center"/>
      </w:pPr>
      <w:r>
        <w:rPr>
          <w:b w:val="0"/>
          <w:i w:val="0"/>
          <w:color w:val="0B7485"/>
          <w:sz w:val="18"/>
        </w:rPr>
        <w:t>Създадено с отворени инструменти. Използвайте и адаптирайте свободно за вашия град.</w:t>
      </w:r>
    </w:p>
    <w:p>
      <w:pPr>
        <w:spacing w:before="40" w:after="80"/>
        <w:jc w:val="center"/>
      </w:pPr>
      <w:r>
        <w:rPr>
          <w:b w:val="0"/>
          <w:i w:val="0"/>
          <w:color w:val="646B82"/>
          <w:sz w:val="17"/>
        </w:rPr>
        <w:t>Автор на брошурата: Марек Мраз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Минимални механизми за оперативна съвместимост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Минимални механизми за оперативна съвместимост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